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23224"/>
      <w:bookmarkStart w:id="1" w:name="_Toc6025"/>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自动脱钩器及弓形卸扣</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自动脱钩器及弓形卸扣</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自动脱钩器（磁吸式）及弓形卸扣</w:t>
      </w:r>
      <w:r>
        <w:rPr>
          <w:rFonts w:hint="eastAsia"/>
          <w:kern w:val="0"/>
          <w:sz w:val="24"/>
          <w:szCs w:val="24"/>
          <w:u w:val="single"/>
          <w:lang w:val="en-US" w:eastAsia="zh-CN"/>
        </w:rPr>
        <w:t>一批（具体数量详见分项报价表）</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3天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rFonts w:hint="eastAsia"/>
          <w:color w:val="000000"/>
          <w:kern w:val="0"/>
          <w:sz w:val="24"/>
          <w:szCs w:val="24"/>
          <w:highlight w:val="none"/>
          <w:u w:val="single"/>
          <w:lang w:val="en-US" w:eastAsia="zh-CN"/>
        </w:rPr>
        <w:t>12420</w:t>
      </w:r>
      <w:r>
        <w:rPr>
          <w:rFonts w:hint="eastAsia"/>
          <w:bCs/>
          <w:sz w:val="24"/>
          <w:szCs w:val="24"/>
          <w:u w:val="single"/>
          <w:shd w:val="clear" w:color="auto" w:fill="auto"/>
          <w:lang w:val="en-US" w:eastAsia="zh-CN"/>
        </w:rPr>
        <w:t>元</w:t>
      </w:r>
      <w:r>
        <w:rPr>
          <w:bCs/>
          <w:sz w:val="24"/>
          <w:szCs w:val="24"/>
          <w:u w:val="single"/>
          <w:shd w:val="clear" w:color="auto" w:fill="auto"/>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clear" w:color="auto" w:fill="auto"/>
        </w:rPr>
        <w:t>6.</w:t>
      </w:r>
      <w:r>
        <w:rPr>
          <w:rFonts w:hint="eastAsia"/>
          <w:kern w:val="0"/>
          <w:sz w:val="24"/>
          <w:szCs w:val="24"/>
        </w:rPr>
        <w:t>采购限价：</w:t>
      </w:r>
      <w:r>
        <w:rPr>
          <w:rFonts w:hint="eastAsia"/>
          <w:color w:val="000000"/>
          <w:kern w:val="0"/>
          <w:sz w:val="24"/>
          <w:szCs w:val="24"/>
          <w:highlight w:val="none"/>
          <w:u w:val="single"/>
          <w:lang w:val="en-US" w:eastAsia="zh-CN"/>
        </w:rPr>
        <w:t>12420</w:t>
      </w:r>
      <w:r>
        <w:rPr>
          <w:rFonts w:hint="eastAsia"/>
          <w:bCs/>
          <w:sz w:val="24"/>
          <w:szCs w:val="24"/>
          <w:u w:val="single"/>
          <w:shd w:val="pct10" w:color="auto" w:fill="FFFFFF"/>
          <w:lang w:val="en-US" w:eastAsia="zh-CN"/>
        </w:rPr>
        <w:t>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22880"/>
      <w:bookmarkStart w:id="6" w:name="_Toc18851"/>
      <w:bookmarkStart w:id="7" w:name="_Toc7636"/>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15</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12420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12735"/>
      <w:bookmarkStart w:id="12" w:name="_Toc2444"/>
      <w:bookmarkStart w:id="13" w:name="_Toc5577"/>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9019240"/>
      <w:bookmarkStart w:id="19" w:name="_Toc47415947"/>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8034"/>
      <w:bookmarkStart w:id="21" w:name="_Toc20477"/>
      <w:bookmarkStart w:id="22" w:name="_Toc11025"/>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412810874"/>
      <w:bookmarkStart w:id="24" w:name="_Toc354434420"/>
      <w:bookmarkStart w:id="25" w:name="_Toc35443459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3"/>
        <w:numPr>
          <w:ilvl w:val="0"/>
          <w:numId w:val="2"/>
        </w:numPr>
        <w:adjustRightInd w:val="0"/>
        <w:spacing w:before="0" w:after="0" w:line="360" w:lineRule="auto"/>
        <w:jc w:val="center"/>
        <w:rPr>
          <w:color w:val="000000"/>
          <w:sz w:val="36"/>
          <w:szCs w:val="36"/>
        </w:rPr>
      </w:pPr>
      <w:bookmarkStart w:id="26" w:name="_Toc23895"/>
      <w:bookmarkStart w:id="27" w:name="_Toc47416185"/>
      <w:bookmarkStart w:id="28" w:name="_Toc49019224"/>
      <w:bookmarkStart w:id="29" w:name="_Toc47415931"/>
      <w:r>
        <w:rPr>
          <w:color w:val="000000"/>
          <w:sz w:val="36"/>
          <w:szCs w:val="36"/>
        </w:rPr>
        <w:br w:type="page"/>
      </w:r>
      <w:bookmarkStart w:id="30" w:name="_Toc11301"/>
      <w:bookmarkStart w:id="31" w:name="_Toc19899"/>
      <w:r>
        <w:rPr>
          <w:color w:val="000000"/>
          <w:sz w:val="36"/>
          <w:szCs w:val="36"/>
        </w:rPr>
        <w:t xml:space="preserve"> 合同协议条款</w:t>
      </w:r>
    </w:p>
    <w:bookmarkEnd w:id="26"/>
    <w:bookmarkEnd w:id="30"/>
    <w:bookmarkEnd w:id="31"/>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A97DE78">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自动脱钩器及弓形卸扣</w:t>
      </w:r>
      <w:r>
        <w:rPr>
          <w:rFonts w:hint="eastAsia" w:ascii="方正小标宋_GBK" w:eastAsia="方正小标宋_GBK" w:cs="MicrosoftYaHei-Bold"/>
          <w:kern w:val="0"/>
          <w:sz w:val="44"/>
          <w:szCs w:val="44"/>
        </w:rPr>
        <w:t>合同</w:t>
      </w:r>
    </w:p>
    <w:p w14:paraId="42B4FA3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123F2BD8">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0B0EE953">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520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476A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1D0D3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EAFBC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FE13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B2FC0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01589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4A2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C287F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E135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703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EBE8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AE8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CF580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3E2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77F3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A5DC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F7E4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BDC4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3D672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AA85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BD2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18EA8A8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E1611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34CAA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3</w:t>
      </w:r>
      <w:r>
        <w:rPr>
          <w:rFonts w:hint="eastAsia" w:ascii="仿宋" w:hAnsi="仿宋" w:eastAsia="仿宋" w:cs="仿宋"/>
          <w:i w:val="0"/>
          <w:color w:val="auto"/>
          <w:kern w:val="0"/>
          <w:sz w:val="28"/>
          <w:szCs w:val="28"/>
          <w:u w:val="none"/>
          <w:lang w:val="en-US" w:eastAsia="zh-CN" w:bidi="ar"/>
        </w:rPr>
        <w:t>日内将货物送至泰州高港港务有限公司，现场进行交接，</w:t>
      </w:r>
      <w:r>
        <w:rPr>
          <w:rFonts w:hint="eastAsia" w:ascii="仿宋" w:hAnsi="仿宋" w:eastAsia="仿宋" w:cs="仿宋"/>
          <w:b w:val="0"/>
          <w:bCs w:val="0"/>
          <w:i w:val="0"/>
          <w:color w:val="auto"/>
          <w:kern w:val="0"/>
          <w:sz w:val="28"/>
          <w:szCs w:val="28"/>
          <w:u w:val="none"/>
          <w:lang w:val="en-US" w:eastAsia="zh-CN" w:bidi="ar"/>
        </w:rPr>
        <w:t>不接受快递物流配送</w:t>
      </w:r>
      <w:r>
        <w:rPr>
          <w:rFonts w:hint="eastAsia" w:ascii="仿宋" w:hAnsi="仿宋" w:eastAsia="仿宋" w:cs="仿宋"/>
          <w:i w:val="0"/>
          <w:color w:val="auto"/>
          <w:kern w:val="0"/>
          <w:sz w:val="28"/>
          <w:szCs w:val="28"/>
          <w:u w:val="none"/>
          <w:lang w:val="en-US" w:eastAsia="zh-CN" w:bidi="ar"/>
        </w:rPr>
        <w:t>。</w:t>
      </w:r>
    </w:p>
    <w:p w14:paraId="54063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58D04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7B203E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结算：交货验收合格后，乙方开具13%增值税专用发票，甲方在收到发票的30日内支付货款。</w:t>
      </w:r>
    </w:p>
    <w:p w14:paraId="56FDF8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7AF1E0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C3AE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CA86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33EE1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0268C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                              ，受送达人为：      ，联系方式为：                。</w:t>
      </w:r>
    </w:p>
    <w:p w14:paraId="20FC0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2DFB38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5569B6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C6BC2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1566CF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64A643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3416A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5B765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454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4C618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3A9CD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2EB04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68B0A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19D78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203F7F0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04A379CA">
      <w:pPr>
        <w:rPr>
          <w:color w:val="000000"/>
        </w:rPr>
      </w:pPr>
    </w:p>
    <w:p w14:paraId="7C9DD46E">
      <w:pPr>
        <w:pStyle w:val="2"/>
        <w:rPr>
          <w:color w:val="000000"/>
        </w:rPr>
      </w:pPr>
    </w:p>
    <w:p w14:paraId="4CBC8BE1">
      <w:pPr>
        <w:rPr>
          <w:color w:val="000000"/>
        </w:rPr>
      </w:pPr>
    </w:p>
    <w:p w14:paraId="59CDA1B1">
      <w:pPr>
        <w:pStyle w:val="2"/>
      </w:pPr>
    </w:p>
    <w:p w14:paraId="1E58FF3F"/>
    <w:p w14:paraId="609EED29">
      <w:bookmarkStart w:id="32" w:name="_Toc27823"/>
      <w:bookmarkStart w:id="33" w:name="_Toc26937"/>
      <w:bookmarkStart w:id="34" w:name="_Toc29597"/>
    </w:p>
    <w:p w14:paraId="1090BE93">
      <w:pPr>
        <w:pStyle w:val="2"/>
      </w:pPr>
    </w:p>
    <w:p w14:paraId="06AA91FE">
      <w:pPr>
        <w:pStyle w:val="3"/>
        <w:adjustRightInd w:val="0"/>
        <w:spacing w:before="0" w:after="0" w:line="360" w:lineRule="auto"/>
        <w:jc w:val="center"/>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3A7314B4">
      <w:pPr>
        <w:widowControl/>
        <w:spacing w:line="360" w:lineRule="auto"/>
        <w:jc w:val="left"/>
        <w:rPr>
          <w:rFonts w:hint="eastAsia" w:eastAsia="黑体"/>
          <w:lang w:eastAsia="zh-CN"/>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按照下图进行报价，如货物与下图有误差我公司不予收货。</w:t>
      </w:r>
      <w:r>
        <w:rPr>
          <w:rFonts w:hint="eastAsia" w:ascii="宋体" w:hAnsi="宋体" w:cs="宋体"/>
          <w:color w:val="000000"/>
          <w:kern w:val="0"/>
          <w:sz w:val="24"/>
          <w:szCs w:val="24"/>
          <w:highlight w:val="yellow"/>
          <w:lang w:bidi="ar"/>
        </w:rPr>
        <w:t xml:space="preserve"> </w:t>
      </w:r>
    </w:p>
    <w:p w14:paraId="3BFC76E9">
      <w:pPr>
        <w:rPr>
          <w:rFonts w:hint="eastAsia"/>
          <w:lang w:val="en-US" w:eastAsia="zh-CN"/>
        </w:rPr>
      </w:pPr>
      <w:r>
        <w:drawing>
          <wp:inline distT="0" distB="0" distL="114300" distR="114300">
            <wp:extent cx="2895600" cy="3771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5600" cy="3771900"/>
                    </a:xfrm>
                    <a:prstGeom prst="rect">
                      <a:avLst/>
                    </a:prstGeom>
                    <a:noFill/>
                    <a:ln>
                      <a:noFill/>
                    </a:ln>
                  </pic:spPr>
                </pic:pic>
              </a:graphicData>
            </a:graphic>
          </wp:inline>
        </w:drawing>
      </w:r>
      <w:r>
        <w:drawing>
          <wp:inline distT="0" distB="0" distL="114300" distR="114300">
            <wp:extent cx="3392170" cy="3001010"/>
            <wp:effectExtent l="0" t="0" r="1778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392170" cy="3001010"/>
                    </a:xfrm>
                    <a:prstGeom prst="rect">
                      <a:avLst/>
                    </a:prstGeom>
                    <a:noFill/>
                    <a:ln>
                      <a:noFill/>
                    </a:ln>
                  </pic:spPr>
                </pic:pic>
              </a:graphicData>
            </a:graphic>
          </wp:inline>
        </w:drawing>
      </w:r>
    </w:p>
    <w:p w14:paraId="30ED0AA3">
      <w:pPr>
        <w:rPr>
          <w:rFonts w:hint="eastAsia"/>
          <w:lang w:val="en-US" w:eastAsia="zh-CN"/>
        </w:rPr>
      </w:pPr>
      <w:r>
        <w:rPr>
          <w:rFonts w:hint="eastAsia"/>
          <w:lang w:val="en-US" w:eastAsia="zh-CN"/>
        </w:rPr>
        <w:t xml:space="preserve"> </w:t>
      </w:r>
    </w:p>
    <w:p w14:paraId="6AD74DDD">
      <w:pPr>
        <w:rPr>
          <w:color w:val="000000"/>
        </w:rPr>
      </w:pPr>
    </w:p>
    <w:p w14:paraId="47C4E4F8">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rFonts w:hint="eastAsia"/>
          <w:b/>
          <w:color w:val="000000"/>
          <w:lang w:val="en-US" w:eastAsia="zh-CN"/>
        </w:rPr>
        <w:t xml:space="preserve">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1FBB951C">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营业执照复印件和</w:t>
      </w:r>
      <w:r>
        <w:rPr>
          <w:color w:val="000000"/>
          <w:szCs w:val="21"/>
        </w:rPr>
        <w:t>法定代表人身份证复印件及委托代理人身份证复印件。</w:t>
      </w:r>
    </w:p>
    <w:p w14:paraId="143CF142">
      <w:pPr>
        <w:spacing w:line="440" w:lineRule="exact"/>
        <w:rPr>
          <w:color w:val="000000"/>
          <w:szCs w:val="21"/>
        </w:rPr>
      </w:pPr>
    </w:p>
    <w:p w14:paraId="3A5CEC72">
      <w:pPr>
        <w:rPr>
          <w:color w:val="000000"/>
          <w:szCs w:val="21"/>
        </w:rPr>
      </w:pPr>
    </w:p>
    <w:p w14:paraId="2793C032">
      <w:pPr>
        <w:pStyle w:val="2"/>
        <w:rPr>
          <w:color w:val="000000"/>
          <w:szCs w:val="21"/>
        </w:rPr>
      </w:pPr>
    </w:p>
    <w:p w14:paraId="7F5FD952">
      <w:pPr>
        <w:rPr>
          <w:color w:val="000000"/>
          <w:szCs w:val="21"/>
        </w:rPr>
      </w:pPr>
    </w:p>
    <w:p w14:paraId="016B7C20">
      <w:pPr>
        <w:pStyle w:val="2"/>
        <w:rPr>
          <w:color w:val="000000"/>
          <w:szCs w:val="21"/>
        </w:rPr>
      </w:pPr>
    </w:p>
    <w:p w14:paraId="518F04D2">
      <w:pPr>
        <w:rPr>
          <w:color w:val="000000"/>
          <w:szCs w:val="21"/>
        </w:rPr>
      </w:pPr>
    </w:p>
    <w:p w14:paraId="0F234A46">
      <w:pPr>
        <w:pStyle w:val="2"/>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ascii="仿宋" w:hAnsi="仿宋" w:eastAsia="仿宋" w:cs="仿宋"/>
                <w:b w:val="0"/>
                <w:bCs w:val="0"/>
                <w:kern w:val="0"/>
                <w:sz w:val="28"/>
                <w:szCs w:val="28"/>
                <w:lang w:val="en-US" w:eastAsia="zh-CN"/>
              </w:rPr>
              <w:t>自动脱钩器</w:t>
            </w:r>
            <w:r>
              <w:rPr>
                <w:rFonts w:hint="eastAsia"/>
                <w:sz w:val="24"/>
                <w:szCs w:val="24"/>
                <w:u w:val="none"/>
                <w:lang w:val="en-US" w:eastAsia="zh-CN"/>
              </w:rPr>
              <w:t>（磁吸式）</w:t>
            </w:r>
            <w:r>
              <w:rPr>
                <w:rFonts w:hint="eastAsia" w:ascii="仿宋" w:hAnsi="仿宋" w:eastAsia="仿宋" w:cs="仿宋"/>
                <w:b w:val="0"/>
                <w:bCs w:val="0"/>
                <w:kern w:val="0"/>
                <w:sz w:val="28"/>
                <w:szCs w:val="28"/>
                <w:lang w:val="en-US" w:eastAsia="zh-CN"/>
              </w:rPr>
              <w:t>及弓形卸扣采购项目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报价含13 %增值税及运费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bookmarkStart w:id="36" w:name="_GoBack"/>
      <w:bookmarkEnd w:id="36"/>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01812E6">
      <w:pPr>
        <w:pStyle w:val="4"/>
        <w:adjustRightInd w:val="0"/>
        <w:snapToGrid w:val="0"/>
        <w:spacing w:before="0" w:after="0" w:line="360" w:lineRule="auto"/>
        <w:jc w:val="center"/>
        <w:rPr>
          <w:szCs w:val="21"/>
        </w:rPr>
      </w:pPr>
      <w:r>
        <w:rPr>
          <w:rFonts w:hint="eastAsia"/>
          <w:color w:val="000000"/>
          <w:szCs w:val="21"/>
        </w:rPr>
        <w:br w:type="page"/>
      </w:r>
      <w:bookmarkStart w:id="35" w:name="_Toc26968"/>
      <w:r>
        <w:rPr>
          <w:rFonts w:hint="eastAsia"/>
          <w:szCs w:val="21"/>
        </w:rPr>
        <w:t>（三）</w:t>
      </w:r>
      <w:r>
        <w:rPr>
          <w:szCs w:val="21"/>
        </w:rPr>
        <w:t>分项报价表</w:t>
      </w:r>
      <w:bookmarkEnd w:id="35"/>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1450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73DD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72462A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自动脱钩器</w:t>
            </w:r>
          </w:p>
          <w:p w14:paraId="2A8DEAA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（磁吸式）</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只</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12FA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B50FFD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弓形卸扣</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68BFF6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6.5T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56C0E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只</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E2A34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E976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8E2BF5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7515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DB4254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弓形卸扣</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697782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3.25T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C1C63E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只</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0DA66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349E4E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359D3A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66D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45DD6EBA">
      <w:pPr>
        <w:adjustRightInd w:val="0"/>
        <w:snapToGrid w:val="0"/>
        <w:spacing w:line="360" w:lineRule="auto"/>
        <w:jc w:val="both"/>
        <w:rPr>
          <w:b/>
          <w:bCs/>
          <w:color w:val="000000"/>
          <w:kern w:val="0"/>
          <w:sz w:val="28"/>
          <w:szCs w:val="52"/>
          <w:lang w:bidi="ar"/>
        </w:rPr>
      </w:pPr>
    </w:p>
    <w:p w14:paraId="308C606D">
      <w:pPr>
        <w:adjustRightInd w:val="0"/>
        <w:snapToGrid w:val="0"/>
        <w:spacing w:line="360" w:lineRule="auto"/>
        <w:jc w:val="both"/>
        <w:rPr>
          <w:b/>
          <w:bCs/>
          <w:color w:val="000000"/>
          <w:kern w:val="0"/>
          <w:sz w:val="28"/>
          <w:szCs w:val="52"/>
          <w:lang w:bidi="ar"/>
        </w:rPr>
      </w:pPr>
    </w:p>
    <w:p w14:paraId="7C4D47B9">
      <w:pPr>
        <w:adjustRightInd w:val="0"/>
        <w:snapToGrid w:val="0"/>
        <w:spacing w:line="360" w:lineRule="auto"/>
        <w:jc w:val="both"/>
        <w:rPr>
          <w:b/>
          <w:bCs/>
          <w:color w:val="000000"/>
          <w:kern w:val="0"/>
          <w:sz w:val="28"/>
          <w:szCs w:val="52"/>
          <w:lang w:bidi="ar"/>
        </w:rPr>
      </w:pPr>
    </w:p>
    <w:p w14:paraId="42314A6F">
      <w:pPr>
        <w:adjustRightInd w:val="0"/>
        <w:snapToGrid w:val="0"/>
        <w:spacing w:line="360" w:lineRule="auto"/>
        <w:jc w:val="both"/>
        <w:rPr>
          <w:b/>
          <w:bCs/>
          <w:color w:val="000000"/>
          <w:kern w:val="0"/>
          <w:sz w:val="28"/>
          <w:szCs w:val="52"/>
          <w:lang w:bidi="ar"/>
        </w:rPr>
      </w:pPr>
    </w:p>
    <w:p w14:paraId="1FCD34B1">
      <w:pPr>
        <w:adjustRightInd w:val="0"/>
        <w:snapToGrid w:val="0"/>
        <w:spacing w:line="360" w:lineRule="auto"/>
        <w:jc w:val="both"/>
        <w:rPr>
          <w:b/>
          <w:bCs/>
          <w:color w:val="000000"/>
          <w:kern w:val="0"/>
          <w:sz w:val="28"/>
          <w:szCs w:val="52"/>
          <w:lang w:bidi="ar"/>
        </w:rPr>
      </w:pPr>
    </w:p>
    <w:p w14:paraId="29068632">
      <w:pPr>
        <w:adjustRightInd w:val="0"/>
        <w:snapToGrid w:val="0"/>
        <w:spacing w:line="360" w:lineRule="auto"/>
        <w:jc w:val="both"/>
        <w:rPr>
          <w:b/>
          <w:bCs/>
          <w:color w:val="000000"/>
          <w:kern w:val="0"/>
          <w:sz w:val="28"/>
          <w:szCs w:val="52"/>
          <w:lang w:bidi="ar"/>
        </w:rPr>
      </w:pPr>
    </w:p>
    <w:p w14:paraId="2994BF7C">
      <w:pPr>
        <w:adjustRightInd w:val="0"/>
        <w:snapToGrid w:val="0"/>
        <w:spacing w:line="360" w:lineRule="auto"/>
        <w:jc w:val="both"/>
        <w:rPr>
          <w:b/>
          <w:bCs/>
          <w:color w:val="000000"/>
          <w:kern w:val="0"/>
          <w:sz w:val="28"/>
          <w:szCs w:val="52"/>
          <w:lang w:bidi="ar"/>
        </w:rPr>
      </w:pPr>
    </w:p>
    <w:p w14:paraId="4A799F20">
      <w:pPr>
        <w:adjustRightInd w:val="0"/>
        <w:snapToGrid w:val="0"/>
        <w:spacing w:line="360" w:lineRule="auto"/>
        <w:jc w:val="both"/>
        <w:rPr>
          <w:b/>
          <w:bCs/>
          <w:color w:val="000000"/>
          <w:kern w:val="0"/>
          <w:sz w:val="28"/>
          <w:szCs w:val="52"/>
          <w:lang w:bidi="ar"/>
        </w:rPr>
      </w:pPr>
    </w:p>
    <w:p w14:paraId="16F9DD1C">
      <w:pPr>
        <w:adjustRightInd w:val="0"/>
        <w:snapToGrid w:val="0"/>
        <w:spacing w:line="360" w:lineRule="auto"/>
        <w:jc w:val="both"/>
        <w:rPr>
          <w:b/>
          <w:bCs/>
          <w:color w:val="000000"/>
          <w:kern w:val="0"/>
          <w:sz w:val="28"/>
          <w:szCs w:val="52"/>
          <w:lang w:bidi="ar"/>
        </w:rPr>
      </w:pPr>
    </w:p>
    <w:p w14:paraId="04D2D734">
      <w:pPr>
        <w:adjustRightInd w:val="0"/>
        <w:snapToGrid w:val="0"/>
        <w:spacing w:line="360" w:lineRule="auto"/>
        <w:jc w:val="both"/>
        <w:rPr>
          <w:b/>
          <w:bCs/>
          <w:color w:val="000000"/>
          <w:kern w:val="0"/>
          <w:sz w:val="28"/>
          <w:szCs w:val="52"/>
          <w:lang w:bidi="ar"/>
        </w:rPr>
      </w:pPr>
    </w:p>
    <w:p w14:paraId="71B73659">
      <w:pPr>
        <w:adjustRightInd w:val="0"/>
        <w:snapToGrid w:val="0"/>
        <w:spacing w:line="360" w:lineRule="auto"/>
        <w:jc w:val="both"/>
        <w:rPr>
          <w:b/>
          <w:bCs/>
          <w:color w:val="000000"/>
          <w:kern w:val="0"/>
          <w:sz w:val="28"/>
          <w:szCs w:val="52"/>
          <w:lang w:bidi="ar"/>
        </w:rPr>
      </w:pPr>
    </w:p>
    <w:p w14:paraId="09F0350D">
      <w:pPr>
        <w:adjustRightInd w:val="0"/>
        <w:snapToGrid w:val="0"/>
        <w:spacing w:line="360" w:lineRule="auto"/>
        <w:jc w:val="both"/>
        <w:rPr>
          <w:b/>
          <w:bCs/>
          <w:color w:val="000000"/>
          <w:kern w:val="0"/>
          <w:sz w:val="28"/>
          <w:szCs w:val="52"/>
          <w:lang w:bidi="ar"/>
        </w:rPr>
      </w:pPr>
    </w:p>
    <w:p w14:paraId="27B459CA">
      <w:pPr>
        <w:adjustRightInd w:val="0"/>
        <w:snapToGrid w:val="0"/>
        <w:spacing w:line="360" w:lineRule="auto"/>
        <w:jc w:val="both"/>
        <w:rPr>
          <w:b/>
          <w:bCs/>
          <w:color w:val="000000"/>
          <w:kern w:val="0"/>
          <w:sz w:val="28"/>
          <w:szCs w:val="52"/>
          <w:lang w:bidi="ar"/>
        </w:rPr>
      </w:pPr>
    </w:p>
    <w:p w14:paraId="61FEE262">
      <w:pPr>
        <w:adjustRightInd w:val="0"/>
        <w:snapToGrid w:val="0"/>
        <w:spacing w:line="360" w:lineRule="auto"/>
        <w:jc w:val="both"/>
        <w:rPr>
          <w:b/>
          <w:bCs/>
          <w:color w:val="000000"/>
          <w:kern w:val="0"/>
          <w:sz w:val="28"/>
          <w:szCs w:val="52"/>
          <w:lang w:bidi="ar"/>
        </w:rPr>
      </w:pPr>
    </w:p>
    <w:p w14:paraId="39E62613">
      <w:pPr>
        <w:adjustRightInd w:val="0"/>
        <w:snapToGrid w:val="0"/>
        <w:spacing w:line="360" w:lineRule="auto"/>
        <w:jc w:val="both"/>
        <w:rPr>
          <w:b/>
          <w:bCs/>
          <w:color w:val="000000"/>
          <w:kern w:val="0"/>
          <w:sz w:val="28"/>
          <w:szCs w:val="52"/>
          <w:lang w:bidi="ar"/>
        </w:rPr>
      </w:pPr>
    </w:p>
    <w:p w14:paraId="35DDED62">
      <w:pPr>
        <w:adjustRightInd w:val="0"/>
        <w:snapToGrid w:val="0"/>
        <w:spacing w:line="360" w:lineRule="auto"/>
        <w:jc w:val="both"/>
        <w:rPr>
          <w:b/>
          <w:bCs/>
          <w:color w:val="000000"/>
          <w:kern w:val="0"/>
          <w:sz w:val="28"/>
          <w:szCs w:val="52"/>
          <w:lang w:bidi="ar"/>
        </w:rPr>
      </w:pPr>
    </w:p>
    <w:p w14:paraId="2C317EE1">
      <w:pPr>
        <w:adjustRightInd w:val="0"/>
        <w:snapToGrid w:val="0"/>
        <w:spacing w:line="360" w:lineRule="auto"/>
        <w:jc w:val="both"/>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6531"/>
    <w:rsid w:val="20B445B6"/>
    <w:rsid w:val="2BB5176C"/>
    <w:rsid w:val="2CD02CB4"/>
    <w:rsid w:val="32294576"/>
    <w:rsid w:val="352B551E"/>
    <w:rsid w:val="5C282094"/>
    <w:rsid w:val="73E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10990</Words>
  <Characters>11556</Characters>
  <Lines>0</Lines>
  <Paragraphs>0</Paragraphs>
  <TotalTime>3</TotalTime>
  <ScaleCrop>false</ScaleCrop>
  <LinksUpToDate>false</LinksUpToDate>
  <CharactersWithSpaces>12999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cp:lastPrinted>2025-07-14T06:49:00Z</cp:lastPrinted>
  <dcterms:modified xsi:type="dcterms:W3CDTF">2025-09-11T00:25:15Z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