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25869">
      <w:pPr>
        <w:adjustRightInd w:val="0"/>
        <w:spacing w:line="360" w:lineRule="auto"/>
        <w:jc w:val="center"/>
        <w:textAlignment w:val="baseline"/>
        <w:outlineLvl w:val="1"/>
        <w:rPr>
          <w:rFonts w:hint="eastAsia"/>
          <w:bCs/>
          <w:color w:val="000000"/>
          <w:szCs w:val="21"/>
        </w:rPr>
      </w:pPr>
      <w:bookmarkStart w:id="0" w:name="_Toc23224"/>
      <w:bookmarkStart w:id="1" w:name="_Toc6025"/>
      <w:r>
        <w:rPr>
          <w:b/>
          <w:color w:val="000000"/>
          <w:sz w:val="36"/>
          <w:szCs w:val="36"/>
        </w:rPr>
        <w:t>询价</w:t>
      </w:r>
      <w:r>
        <w:rPr>
          <w:rFonts w:hint="eastAsia"/>
          <w:b/>
          <w:color w:val="000000"/>
          <w:sz w:val="36"/>
          <w:szCs w:val="36"/>
        </w:rPr>
        <w:t>公告</w:t>
      </w:r>
      <w:bookmarkEnd w:id="0"/>
      <w:bookmarkEnd w:id="1"/>
    </w:p>
    <w:p w14:paraId="3F44DE04">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（采购单位）（以下简称“采购人”）对</w:t>
      </w:r>
      <w:r>
        <w:rPr>
          <w:rFonts w:hint="eastAsia"/>
          <w:sz w:val="24"/>
          <w:szCs w:val="24"/>
          <w:u w:val="single"/>
          <w:lang w:val="en-US" w:eastAsia="zh-CN"/>
        </w:rPr>
        <w:t>跨市监控数据传输项目</w:t>
      </w:r>
      <w:r>
        <w:rPr>
          <w:color w:val="000000"/>
          <w:kern w:val="0"/>
          <w:sz w:val="24"/>
          <w:szCs w:val="24"/>
        </w:rPr>
        <w:t>进行国内公开询价采购，特邀请符合资质要求且有兴趣的单位参与该项目询价。</w:t>
      </w:r>
    </w:p>
    <w:p w14:paraId="043C15E4">
      <w:pPr>
        <w:widowControl/>
        <w:spacing w:line="360" w:lineRule="auto"/>
        <w:jc w:val="left"/>
        <w:rPr>
          <w:color w:val="000000"/>
          <w:kern w:val="0"/>
          <w:sz w:val="24"/>
          <w:szCs w:val="24"/>
        </w:rPr>
      </w:pPr>
      <w:r>
        <w:rPr>
          <w:b/>
          <w:bCs/>
          <w:color w:val="000000"/>
          <w:kern w:val="0"/>
          <w:sz w:val="24"/>
          <w:szCs w:val="24"/>
        </w:rPr>
        <w:t>一、项目采购内容</w:t>
      </w:r>
    </w:p>
    <w:p w14:paraId="7FCAE58C">
      <w:pPr>
        <w:widowControl/>
        <w:spacing w:line="360" w:lineRule="auto"/>
        <w:ind w:firstLine="480" w:firstLineChars="200"/>
        <w:jc w:val="left"/>
        <w:rPr>
          <w:rFonts w:hint="eastAsia"/>
          <w:kern w:val="0"/>
          <w:sz w:val="24"/>
          <w:szCs w:val="24"/>
        </w:rPr>
      </w:pPr>
      <w:r>
        <w:rPr>
          <w:color w:val="000000"/>
          <w:kern w:val="0"/>
          <w:sz w:val="24"/>
          <w:szCs w:val="24"/>
          <w:highlight w:val="none"/>
        </w:rPr>
        <w:t>1.</w:t>
      </w:r>
      <w:r>
        <w:rPr>
          <w:kern w:val="0"/>
          <w:sz w:val="24"/>
          <w:szCs w:val="24"/>
        </w:rPr>
        <w:t>项目名称：</w:t>
      </w:r>
      <w:r>
        <w:rPr>
          <w:rFonts w:hint="eastAsia"/>
          <w:sz w:val="24"/>
          <w:szCs w:val="24"/>
          <w:u w:val="single"/>
          <w:lang w:val="en-US" w:eastAsia="zh-CN"/>
        </w:rPr>
        <w:t>泰州高港港务有限公司跨市监控数据传输项目</w:t>
      </w:r>
    </w:p>
    <w:p w14:paraId="368992F6">
      <w:pPr>
        <w:widowControl/>
        <w:spacing w:line="360" w:lineRule="auto"/>
        <w:ind w:firstLine="480" w:firstLineChars="200"/>
        <w:jc w:val="left"/>
        <w:rPr>
          <w:rFonts w:hint="default" w:ascii="宋体" w:hAnsi="宋体" w:eastAsia="宋体" w:cs="宋体"/>
          <w:i w:val="0"/>
          <w:iCs w:val="0"/>
          <w:caps w:val="0"/>
          <w:spacing w:val="0"/>
          <w:sz w:val="24"/>
          <w:szCs w:val="24"/>
          <w:u w:val="single"/>
          <w:shd w:val="clear" w:fill="E5E5E5"/>
          <w:lang w:val="en-US" w:eastAsia="zh-CN"/>
        </w:rPr>
      </w:pPr>
      <w:r>
        <w:rPr>
          <w:kern w:val="0"/>
          <w:sz w:val="24"/>
          <w:szCs w:val="24"/>
        </w:rPr>
        <w:t>2.项目范围：</w:t>
      </w:r>
      <w:r>
        <w:rPr>
          <w:rFonts w:hint="eastAsia" w:ascii="宋体" w:hAnsi="宋体" w:eastAsia="宋体" w:cs="宋体"/>
          <w:i w:val="0"/>
          <w:iCs w:val="0"/>
          <w:caps w:val="0"/>
          <w:spacing w:val="0"/>
          <w:sz w:val="24"/>
          <w:szCs w:val="24"/>
          <w:u w:val="single"/>
          <w:shd w:val="clear" w:fill="E5E5E5"/>
          <w:lang w:val="en-US" w:eastAsia="zh-CN"/>
        </w:rPr>
        <w:t>泰州高港港务</w:t>
      </w:r>
      <w:r>
        <w:rPr>
          <w:rFonts w:hint="eastAsia" w:ascii="宋体" w:hAnsi="宋体" w:eastAsia="宋体" w:cs="宋体"/>
          <w:i w:val="0"/>
          <w:iCs w:val="0"/>
          <w:caps w:val="0"/>
          <w:spacing w:val="0"/>
          <w:sz w:val="24"/>
          <w:szCs w:val="24"/>
          <w:u w:val="single"/>
          <w:shd w:val="clear" w:fill="E5E5E5"/>
        </w:rPr>
        <w:t>有限公司</w:t>
      </w:r>
      <w:r>
        <w:rPr>
          <w:rFonts w:hint="eastAsia" w:ascii="宋体" w:hAnsi="宋体" w:cs="宋体"/>
          <w:i w:val="0"/>
          <w:iCs w:val="0"/>
          <w:caps w:val="0"/>
          <w:spacing w:val="0"/>
          <w:sz w:val="24"/>
          <w:szCs w:val="24"/>
          <w:u w:val="single"/>
          <w:shd w:val="clear" w:fill="E5E5E5"/>
          <w:lang w:val="en-US" w:eastAsia="zh-CN"/>
        </w:rPr>
        <w:t>监控数据传输至扬州港务集团有限公司</w:t>
      </w:r>
    </w:p>
    <w:p w14:paraId="13EB9CD0">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spacing w:val="1"/>
          <w:szCs w:val="21"/>
          <w:highlight w:val="none"/>
          <w:u w:val="single"/>
          <w:shd w:val="pct10" w:color="auto" w:fill="FFFFFF"/>
        </w:rPr>
        <w:t xml:space="preserve">  </w:t>
      </w:r>
      <w:r>
        <w:rPr>
          <w:rFonts w:hint="eastAsia"/>
          <w:spacing w:val="1"/>
          <w:szCs w:val="21"/>
          <w:highlight w:val="none"/>
          <w:u w:val="single"/>
          <w:shd w:val="pct10" w:color="auto" w:fill="FFFFFF"/>
          <w:lang w:val="en-US" w:eastAsia="zh-CN"/>
        </w:rPr>
        <w:t>服务期：</w:t>
      </w:r>
      <w:r>
        <w:rPr>
          <w:spacing w:val="1"/>
          <w:szCs w:val="21"/>
          <w:u w:val="single"/>
          <w:shd w:val="pct10" w:color="auto" w:fill="FFFFFF"/>
        </w:rPr>
        <w:t xml:space="preserve"> </w:t>
      </w:r>
      <w:r>
        <w:rPr>
          <w:rFonts w:hint="eastAsia"/>
          <w:spacing w:val="1"/>
          <w:szCs w:val="21"/>
          <w:u w:val="single"/>
          <w:shd w:val="pct10" w:color="auto" w:fill="FFFFFF"/>
          <w:lang w:val="en-US" w:eastAsia="zh-CN"/>
        </w:rPr>
        <w:t>1年</w:t>
      </w:r>
      <w:r>
        <w:rPr>
          <w:spacing w:val="1"/>
          <w:szCs w:val="21"/>
          <w:u w:val="single"/>
          <w:shd w:val="pct10" w:color="auto" w:fill="FFFFFF"/>
        </w:rPr>
        <w:t xml:space="preserve">   </w:t>
      </w:r>
    </w:p>
    <w:p w14:paraId="2DDDEB2C">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7801747D">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rPr>
        <w:t>采购预算：</w:t>
      </w:r>
      <w:r>
        <w:rPr>
          <w:bCs/>
          <w:sz w:val="24"/>
          <w:szCs w:val="24"/>
          <w:u w:val="single"/>
          <w:shd w:val="pct10" w:color="auto" w:fill="FFFFFF"/>
        </w:rPr>
        <w:t xml:space="preserve"> </w:t>
      </w:r>
      <w:r>
        <w:rPr>
          <w:rFonts w:hint="eastAsia"/>
          <w:bCs/>
          <w:sz w:val="24"/>
          <w:szCs w:val="24"/>
          <w:u w:val="single"/>
          <w:shd w:val="pct10" w:color="auto" w:fill="FFFFFF"/>
          <w:lang w:val="en-US" w:eastAsia="zh-CN"/>
        </w:rPr>
        <w:t>48000元/年</w:t>
      </w:r>
      <w:r>
        <w:rPr>
          <w:bCs/>
          <w:sz w:val="24"/>
          <w:szCs w:val="24"/>
          <w:u w:val="single"/>
          <w:shd w:val="pct10" w:color="auto" w:fill="FFFFFF"/>
        </w:rPr>
        <w:t xml:space="preserve"> </w:t>
      </w:r>
    </w:p>
    <w:p w14:paraId="7A08141B">
      <w:pPr>
        <w:widowControl/>
        <w:spacing w:line="360" w:lineRule="auto"/>
        <w:ind w:firstLine="480" w:firstLineChars="200"/>
        <w:jc w:val="left"/>
        <w:rPr>
          <w:color w:val="000000"/>
          <w:kern w:val="0"/>
          <w:sz w:val="24"/>
          <w:szCs w:val="24"/>
          <w:highlight w:val="none"/>
          <w:u w:val="single"/>
        </w:rPr>
      </w:pPr>
      <w:r>
        <w:rPr>
          <w:rFonts w:hint="eastAsia"/>
          <w:bCs/>
          <w:sz w:val="24"/>
          <w:szCs w:val="24"/>
          <w:u w:val="single"/>
          <w:shd w:val="pct10" w:color="auto" w:fill="FFFFFF"/>
        </w:rPr>
        <w:t>6.</w:t>
      </w:r>
      <w:r>
        <w:rPr>
          <w:rFonts w:hint="eastAsia"/>
          <w:kern w:val="0"/>
          <w:sz w:val="24"/>
          <w:szCs w:val="24"/>
        </w:rPr>
        <w:t>采购限价：</w:t>
      </w:r>
      <w:r>
        <w:rPr>
          <w:rFonts w:hint="eastAsia"/>
          <w:bCs/>
          <w:sz w:val="24"/>
          <w:szCs w:val="24"/>
          <w:u w:val="single"/>
          <w:shd w:val="pct10" w:color="auto" w:fill="FFFFFF"/>
          <w:lang w:val="en-US" w:eastAsia="zh-CN"/>
        </w:rPr>
        <w:t>48000元/年</w:t>
      </w:r>
      <w:r>
        <w:rPr>
          <w:bCs/>
          <w:sz w:val="24"/>
          <w:szCs w:val="24"/>
          <w:u w:val="single"/>
          <w:shd w:val="pct10" w:color="auto" w:fill="FFFFFF"/>
        </w:rPr>
        <w:t xml:space="preserve">    </w:t>
      </w:r>
    </w:p>
    <w:p w14:paraId="6CC22681">
      <w:pPr>
        <w:widowControl/>
        <w:spacing w:line="360" w:lineRule="auto"/>
        <w:jc w:val="left"/>
        <w:rPr>
          <w:b/>
          <w:bCs/>
          <w:color w:val="auto"/>
          <w:kern w:val="0"/>
          <w:sz w:val="24"/>
          <w:szCs w:val="24"/>
        </w:rPr>
      </w:pPr>
      <w:r>
        <w:rPr>
          <w:b/>
          <w:bCs/>
          <w:color w:val="auto"/>
          <w:kern w:val="0"/>
          <w:sz w:val="24"/>
          <w:szCs w:val="24"/>
        </w:rPr>
        <w:t>二、响应单位资格要求</w:t>
      </w:r>
    </w:p>
    <w:p w14:paraId="3303D550">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054F8E23">
      <w:pPr>
        <w:widowControl/>
        <w:spacing w:line="360" w:lineRule="auto"/>
        <w:jc w:val="left"/>
        <w:rPr>
          <w:rFonts w:hint="eastAsia" w:ascii="宋体" w:hAnsi="宋体" w:eastAsia="宋体" w:cs="宋体"/>
          <w:color w:val="000000"/>
          <w:kern w:val="0"/>
          <w:sz w:val="24"/>
          <w:szCs w:val="24"/>
          <w:highlight w:val="none"/>
          <w:shd w:val="clear" w:fill="FFFFFF" w:themeFill="background1"/>
          <w:lang w:eastAsia="zh-CN" w:bidi="ar"/>
        </w:rPr>
      </w:pPr>
      <w:r>
        <w:rPr>
          <w:color w:val="auto"/>
          <w:kern w:val="0"/>
          <w:sz w:val="24"/>
          <w:szCs w:val="24"/>
          <w:highlight w:val="none"/>
        </w:rPr>
        <w:t>（1）资质要求：</w:t>
      </w:r>
      <w:r>
        <w:rPr>
          <w:rFonts w:hint="eastAsia" w:ascii="宋体" w:hAnsi="宋体" w:cs="宋体"/>
          <w:color w:val="000000"/>
          <w:kern w:val="0"/>
          <w:sz w:val="24"/>
          <w:szCs w:val="24"/>
          <w:highlight w:val="none"/>
          <w:lang w:bidi="ar"/>
        </w:rPr>
        <w:t>投标人必须为国内注册的独立企业法人，具备有效营业执照。（</w:t>
      </w:r>
      <w:r>
        <w:rPr>
          <w:rFonts w:hint="eastAsia" w:ascii="宋体" w:hAnsi="宋体" w:cs="宋体"/>
          <w:color w:val="000000" w:themeColor="text1"/>
          <w:kern w:val="0"/>
          <w:sz w:val="24"/>
          <w:szCs w:val="24"/>
          <w:highlight w:val="none"/>
          <w:shd w:val="clear" w:fill="FFFFFF" w:themeFill="background1"/>
          <w:lang w:bidi="ar"/>
          <w14:textFill>
            <w14:solidFill>
              <w14:schemeClr w14:val="tx1"/>
            </w14:solidFill>
          </w14:textFill>
        </w:rPr>
        <w:t>提供加盖公章的营业执照</w:t>
      </w:r>
      <w:r>
        <w:rPr>
          <w:rFonts w:hint="eastAsia" w:ascii="宋体" w:hAnsi="宋体" w:cs="宋体"/>
          <w:color w:val="000000" w:themeColor="text1"/>
          <w:kern w:val="0"/>
          <w:sz w:val="24"/>
          <w:szCs w:val="24"/>
          <w:highlight w:val="none"/>
          <w:shd w:val="clear" w:fill="FFFFFF" w:themeFill="background1"/>
          <w:lang w:val="en-US" w:eastAsia="zh-CN" w:bidi="ar"/>
          <w14:textFill>
            <w14:solidFill>
              <w14:schemeClr w14:val="tx1"/>
            </w14:solidFill>
          </w14:textFill>
        </w:rPr>
        <w:t>或</w:t>
      </w:r>
      <w:r>
        <w:rPr>
          <w:rFonts w:hint="eastAsia" w:ascii="宋体" w:hAnsi="宋体" w:cs="宋体"/>
          <w:color w:val="000000" w:themeColor="text1"/>
          <w:kern w:val="0"/>
          <w:sz w:val="24"/>
          <w:szCs w:val="24"/>
          <w:highlight w:val="none"/>
          <w:shd w:val="clear" w:fill="FFFFFF" w:themeFill="background1"/>
          <w:lang w:bidi="ar"/>
          <w14:textFill>
            <w14:solidFill>
              <w14:schemeClr w14:val="tx1"/>
            </w14:solidFill>
          </w14:textFill>
        </w:rPr>
        <w:t>复印件）</w:t>
      </w:r>
      <w:r>
        <w:rPr>
          <w:rFonts w:hint="eastAsia" w:ascii="宋体" w:hAnsi="宋体" w:cs="宋体"/>
          <w:color w:val="000000"/>
          <w:kern w:val="0"/>
          <w:sz w:val="24"/>
          <w:szCs w:val="24"/>
          <w:highlight w:val="none"/>
          <w:shd w:val="clear" w:fill="FFFFFF" w:themeFill="background1"/>
          <w:lang w:eastAsia="zh-CN" w:bidi="ar"/>
        </w:rPr>
        <w:t>。</w:t>
      </w:r>
    </w:p>
    <w:p w14:paraId="42F59532">
      <w:pPr>
        <w:widowControl/>
        <w:spacing w:line="360" w:lineRule="auto"/>
        <w:ind w:firstLine="480" w:firstLineChars="200"/>
        <w:jc w:val="left"/>
        <w:rPr>
          <w:rFonts w:hint="eastAsia" w:ascii="宋体" w:hAnsi="宋体" w:eastAsia="宋体" w:cs="宋体"/>
          <w:i w:val="0"/>
          <w:iCs w:val="0"/>
          <w:caps w:val="0"/>
          <w:spacing w:val="0"/>
          <w:sz w:val="24"/>
          <w:szCs w:val="24"/>
          <w:shd w:val="clear" w:fill="FFFFFF"/>
          <w:lang w:eastAsia="zh-CN"/>
        </w:rPr>
      </w:pPr>
      <w:r>
        <w:rPr>
          <w:rFonts w:hint="eastAsia"/>
          <w:color w:val="000000"/>
          <w:kern w:val="0"/>
          <w:sz w:val="24"/>
          <w:szCs w:val="24"/>
          <w:highlight w:val="none"/>
        </w:rPr>
        <w:t>2.</w:t>
      </w:r>
      <w:r>
        <w:rPr>
          <w:rFonts w:hint="eastAsia" w:ascii="宋体" w:hAnsi="宋体" w:eastAsia="宋体" w:cs="宋体"/>
          <w:i w:val="0"/>
          <w:iCs w:val="0"/>
          <w:caps w:val="0"/>
          <w:spacing w:val="0"/>
          <w:sz w:val="24"/>
          <w:szCs w:val="24"/>
          <w:shd w:val="clear" w:fill="FFFFFF"/>
        </w:rPr>
        <w:t>业绩要求：</w:t>
      </w:r>
      <w:r>
        <w:rPr>
          <w:rFonts w:hint="eastAsia" w:cs="Times New Roman"/>
          <w:i w:val="0"/>
          <w:iCs w:val="0"/>
          <w:caps w:val="0"/>
          <w:spacing w:val="0"/>
          <w:sz w:val="24"/>
          <w:szCs w:val="24"/>
          <w:shd w:val="clear" w:fill="FFFFFF"/>
          <w:lang w:val="en-US" w:eastAsia="zh-CN"/>
        </w:rPr>
        <w:t>无</w:t>
      </w:r>
    </w:p>
    <w:p w14:paraId="3203C78E">
      <w:pPr>
        <w:pStyle w:val="10"/>
        <w:keepNext w:val="0"/>
        <w:keepLines w:val="0"/>
        <w:widowControl/>
        <w:suppressLineNumbers w:val="0"/>
        <w:shd w:val="clear" w:fill="FFFFFF"/>
        <w:spacing w:before="0" w:beforeAutospacing="0" w:after="0" w:afterAutospacing="0" w:line="360" w:lineRule="atLeast"/>
        <w:ind w:left="0" w:firstLine="480"/>
        <w:rPr>
          <w:rFonts w:hint="eastAsia" w:ascii="Segoe UI" w:hAnsi="Segoe UI" w:eastAsia="宋体" w:cs="Segoe UI"/>
          <w:i w:val="0"/>
          <w:iCs w:val="0"/>
          <w:caps w:val="0"/>
          <w:spacing w:val="0"/>
          <w:sz w:val="24"/>
          <w:szCs w:val="24"/>
          <w:lang w:eastAsia="zh-CN"/>
        </w:rPr>
      </w:pPr>
      <w:r>
        <w:rPr>
          <w:rFonts w:hint="eastAsia"/>
          <w:color w:val="000000"/>
          <w:kern w:val="0"/>
          <w:sz w:val="24"/>
          <w:szCs w:val="24"/>
          <w:highlight w:val="none"/>
        </w:rPr>
        <w:t>3.</w:t>
      </w:r>
      <w:r>
        <w:rPr>
          <w:rFonts w:hint="eastAsia" w:ascii="宋体" w:hAnsi="宋体" w:eastAsia="宋体" w:cs="宋体"/>
          <w:i w:val="0"/>
          <w:iCs w:val="0"/>
          <w:caps w:val="0"/>
          <w:spacing w:val="0"/>
          <w:sz w:val="24"/>
          <w:szCs w:val="24"/>
          <w:shd w:val="clear" w:fill="FFFFFF"/>
        </w:rPr>
        <w:t>主要人员要求：</w:t>
      </w:r>
      <w:r>
        <w:rPr>
          <w:rFonts w:hint="eastAsia" w:eastAsia="宋体" w:cs="Times New Roman"/>
          <w:i w:val="0"/>
          <w:iCs w:val="0"/>
          <w:caps w:val="0"/>
          <w:spacing w:val="0"/>
          <w:sz w:val="24"/>
          <w:szCs w:val="24"/>
          <w:shd w:val="clear" w:fill="FFFFFF"/>
          <w:lang w:val="en-US" w:eastAsia="zh-CN"/>
        </w:rPr>
        <w:t>无</w:t>
      </w:r>
    </w:p>
    <w:p w14:paraId="60E1D215">
      <w:pPr>
        <w:pStyle w:val="10"/>
        <w:keepNext w:val="0"/>
        <w:keepLines w:val="0"/>
        <w:widowControl/>
        <w:suppressLineNumbers w:val="0"/>
        <w:shd w:val="clear" w:fill="FFFFFF"/>
        <w:spacing w:before="0" w:beforeAutospacing="0" w:after="0" w:afterAutospacing="0" w:line="360" w:lineRule="atLeast"/>
        <w:ind w:left="0" w:firstLine="480"/>
        <w:rPr>
          <w:rFonts w:hint="default" w:ascii="Segoe UI" w:hAnsi="Segoe UI" w:eastAsia="Segoe UI" w:cs="Segoe UI"/>
          <w:i w:val="0"/>
          <w:iCs w:val="0"/>
          <w:caps w:val="0"/>
          <w:spacing w:val="0"/>
          <w:sz w:val="24"/>
          <w:szCs w:val="24"/>
          <w:highlight w:val="none"/>
        </w:rPr>
      </w:pPr>
      <w:r>
        <w:rPr>
          <w:rFonts w:hint="eastAsia" w:ascii="宋体" w:hAnsi="宋体" w:eastAsia="宋体" w:cs="宋体"/>
          <w:i w:val="0"/>
          <w:iCs w:val="0"/>
          <w:caps w:val="0"/>
          <w:spacing w:val="0"/>
          <w:sz w:val="24"/>
          <w:szCs w:val="24"/>
          <w:highlight w:val="none"/>
          <w:shd w:val="clear" w:fill="FFFFFF"/>
          <w:lang w:val="en-US" w:eastAsia="zh-CN"/>
        </w:rPr>
        <w:t>4.</w:t>
      </w:r>
      <w:r>
        <w:rPr>
          <w:rFonts w:hint="eastAsia" w:ascii="宋体" w:hAnsi="宋体" w:eastAsia="宋体" w:cs="宋体"/>
          <w:i w:val="0"/>
          <w:iCs w:val="0"/>
          <w:caps w:val="0"/>
          <w:spacing w:val="0"/>
          <w:sz w:val="24"/>
          <w:szCs w:val="24"/>
          <w:highlight w:val="none"/>
          <w:shd w:val="clear" w:fill="FFFFFF"/>
        </w:rPr>
        <w:t>其他要求：</w:t>
      </w:r>
      <w:r>
        <w:rPr>
          <w:rFonts w:hint="eastAsia" w:ascii="宋体" w:hAnsi="宋体" w:cs="宋体"/>
          <w:i w:val="0"/>
          <w:iCs w:val="0"/>
          <w:caps w:val="0"/>
          <w:spacing w:val="0"/>
          <w:sz w:val="24"/>
          <w:szCs w:val="24"/>
          <w:highlight w:val="none"/>
          <w:shd w:val="clear" w:fill="FFFFFF"/>
          <w:lang w:val="en-US" w:eastAsia="zh-CN"/>
        </w:rPr>
        <w:t>无。</w:t>
      </w:r>
      <w:r>
        <w:rPr>
          <w:rFonts w:hint="default" w:ascii="Segoe UI" w:hAnsi="Segoe UI" w:eastAsia="Segoe UI" w:cs="Segoe UI"/>
          <w:i w:val="0"/>
          <w:iCs w:val="0"/>
          <w:caps w:val="0"/>
          <w:spacing w:val="0"/>
          <w:sz w:val="24"/>
          <w:szCs w:val="24"/>
          <w:highlight w:val="none"/>
          <w:shd w:val="clear" w:fill="FFFFFF"/>
        </w:rPr>
        <w:t> </w:t>
      </w:r>
    </w:p>
    <w:p w14:paraId="46340B5D">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lang w:val="en-US" w:eastAsia="zh-CN"/>
        </w:rPr>
        <w:t>5.</w:t>
      </w:r>
      <w:r>
        <w:rPr>
          <w:color w:val="000000"/>
          <w:kern w:val="0"/>
          <w:sz w:val="24"/>
          <w:szCs w:val="24"/>
          <w:highlight w:val="none"/>
        </w:rPr>
        <w:t>响应人没有处于被责令停业，资格被取消，财产被接管、冻结及破产状态；</w:t>
      </w:r>
    </w:p>
    <w:p w14:paraId="1F475BBE">
      <w:pPr>
        <w:widowControl/>
        <w:spacing w:line="360" w:lineRule="auto"/>
        <w:ind w:firstLine="480" w:firstLineChars="200"/>
        <w:jc w:val="left"/>
        <w:rPr>
          <w:rFonts w:hint="eastAsia"/>
          <w:color w:val="000000"/>
          <w:sz w:val="24"/>
          <w:szCs w:val="24"/>
          <w:highlight w:val="none"/>
        </w:rPr>
      </w:pPr>
      <w:r>
        <w:rPr>
          <w:color w:val="000000"/>
          <w:kern w:val="0"/>
          <w:sz w:val="24"/>
          <w:szCs w:val="24"/>
          <w:highlight w:val="none"/>
        </w:rPr>
        <w:t>截止</w:t>
      </w:r>
      <w:r>
        <w:rPr>
          <w:rFonts w:hint="eastAsia"/>
          <w:color w:val="000000"/>
          <w:kern w:val="0"/>
          <w:sz w:val="24"/>
          <w:szCs w:val="24"/>
          <w:highlight w:val="none"/>
        </w:rPr>
        <w:t>响应</w:t>
      </w:r>
      <w:r>
        <w:rPr>
          <w:color w:val="000000"/>
          <w:kern w:val="0"/>
          <w:sz w:val="24"/>
          <w:szCs w:val="24"/>
          <w:highlight w:val="none"/>
        </w:rPr>
        <w:t>文件递交当日，</w:t>
      </w:r>
      <w:r>
        <w:rPr>
          <w:rFonts w:hint="eastAsia"/>
          <w:color w:val="000000"/>
          <w:kern w:val="0"/>
          <w:sz w:val="24"/>
          <w:szCs w:val="24"/>
          <w:highlight w:val="none"/>
        </w:rPr>
        <w:t>响应</w:t>
      </w:r>
      <w:r>
        <w:rPr>
          <w:color w:val="000000"/>
          <w:kern w:val="0"/>
          <w:sz w:val="24"/>
          <w:szCs w:val="24"/>
          <w:highlight w:val="none"/>
        </w:rPr>
        <w:t>人未在</w:t>
      </w:r>
      <w:r>
        <w:rPr>
          <w:color w:val="000000"/>
          <w:sz w:val="24"/>
          <w:szCs w:val="24"/>
          <w:highlight w:val="none"/>
        </w:rPr>
        <w:t>国家企业信用信息公示系统</w:t>
      </w:r>
      <w:r>
        <w:rPr>
          <w:rFonts w:hint="eastAsia"/>
          <w:color w:val="000000"/>
          <w:sz w:val="24"/>
          <w:szCs w:val="24"/>
          <w:highlight w:val="none"/>
          <w:lang w:eastAsia="zh-CN"/>
        </w:rPr>
        <w:t>。</w:t>
      </w:r>
      <w:r>
        <w:rPr>
          <w:color w:val="000000"/>
          <w:sz w:val="24"/>
          <w:szCs w:val="24"/>
          <w:highlight w:val="none"/>
        </w:rPr>
        <w:t>（http://www.gsxt.gov.cn/）中被列入严重违法失信企业名单</w:t>
      </w:r>
      <w:r>
        <w:rPr>
          <w:rFonts w:hint="eastAsia"/>
          <w:color w:val="000000"/>
          <w:sz w:val="24"/>
          <w:szCs w:val="24"/>
          <w:highlight w:val="none"/>
        </w:rPr>
        <w:t>，未</w:t>
      </w:r>
      <w:r>
        <w:rPr>
          <w:color w:val="000000"/>
          <w:sz w:val="24"/>
          <w:szCs w:val="24"/>
          <w:highlight w:val="none"/>
        </w:rPr>
        <w:t>在“信用中国”网站（http://www.creditchina.gov.cn/）</w:t>
      </w:r>
      <w:r>
        <w:rPr>
          <w:rFonts w:hint="eastAsia"/>
          <w:color w:val="000000"/>
          <w:sz w:val="24"/>
          <w:szCs w:val="24"/>
          <w:highlight w:val="none"/>
        </w:rPr>
        <w:t>或“中国执行信息公开网”（http://zxgk.court.gov.cn/）</w:t>
      </w:r>
      <w:r>
        <w:rPr>
          <w:color w:val="000000"/>
          <w:sz w:val="24"/>
          <w:szCs w:val="24"/>
          <w:highlight w:val="none"/>
        </w:rPr>
        <w:t>中被列入失信被执行人名单</w:t>
      </w:r>
      <w:r>
        <w:rPr>
          <w:rFonts w:hint="eastAsia"/>
          <w:color w:val="000000"/>
          <w:sz w:val="24"/>
          <w:szCs w:val="24"/>
          <w:highlight w:val="none"/>
        </w:rPr>
        <w:t>。</w:t>
      </w:r>
    </w:p>
    <w:p w14:paraId="50643994">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lang w:val="en-US" w:eastAsia="zh-CN"/>
        </w:rPr>
        <w:t>6</w:t>
      </w:r>
      <w:r>
        <w:rPr>
          <w:rFonts w:hint="eastAsia"/>
          <w:color w:val="000000"/>
          <w:kern w:val="0"/>
          <w:sz w:val="24"/>
          <w:szCs w:val="24"/>
          <w:highlight w:val="none"/>
        </w:rPr>
        <w:t>.</w:t>
      </w:r>
      <w:r>
        <w:rPr>
          <w:color w:val="000000"/>
          <w:kern w:val="0"/>
          <w:sz w:val="24"/>
          <w:szCs w:val="24"/>
          <w:highlight w:val="none"/>
        </w:rPr>
        <w:t>与</w:t>
      </w:r>
      <w:r>
        <w:rPr>
          <w:rFonts w:hint="eastAsia"/>
          <w:color w:val="000000"/>
          <w:kern w:val="0"/>
          <w:sz w:val="24"/>
          <w:szCs w:val="24"/>
          <w:highlight w:val="none"/>
        </w:rPr>
        <w:t>采购</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44BAADBE">
      <w:pPr>
        <w:widowControl/>
        <w:spacing w:line="360" w:lineRule="auto"/>
        <w:jc w:val="left"/>
        <w:rPr>
          <w:color w:val="000000"/>
          <w:kern w:val="0"/>
          <w:sz w:val="24"/>
          <w:szCs w:val="24"/>
        </w:rPr>
      </w:pPr>
      <w:r>
        <w:rPr>
          <w:b/>
          <w:bCs/>
          <w:color w:val="000000"/>
          <w:kern w:val="0"/>
          <w:sz w:val="24"/>
          <w:szCs w:val="24"/>
        </w:rPr>
        <w:t>三、采购文件获取</w:t>
      </w:r>
    </w:p>
    <w:p w14:paraId="629672EF">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0D12A34">
      <w:pPr>
        <w:widowControl/>
        <w:spacing w:line="360" w:lineRule="auto"/>
        <w:jc w:val="left"/>
        <w:rPr>
          <w:color w:val="000000"/>
          <w:kern w:val="0"/>
          <w:sz w:val="24"/>
          <w:szCs w:val="24"/>
        </w:rPr>
      </w:pPr>
      <w:r>
        <w:rPr>
          <w:b/>
          <w:bCs/>
          <w:color w:val="000000"/>
          <w:kern w:val="0"/>
          <w:sz w:val="24"/>
          <w:szCs w:val="24"/>
        </w:rPr>
        <w:t>四、响应文件的递交及开启</w:t>
      </w:r>
    </w:p>
    <w:p w14:paraId="11963C4D">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w:t>
      </w:r>
      <w:r>
        <w:rPr>
          <w:rFonts w:hint="eastAsia" w:ascii="宋体" w:hAnsi="宋体" w:eastAsia="宋体" w:cs="宋体"/>
          <w:sz w:val="24"/>
          <w:szCs w:val="24"/>
          <w:highlight w:val="none"/>
          <w:lang w:val="en-US" w:eastAsia="zh-CN"/>
        </w:rPr>
        <w:t>：2025年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日1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时 </w:t>
      </w:r>
    </w:p>
    <w:p w14:paraId="0769919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报价人按报价文件要求准备相关报价材料，用文件袋进行密封并加盖公章，文件袋上注明项目名称、单位名称、经办人及联系方式、投递日期。</w:t>
      </w:r>
    </w:p>
    <w:p w14:paraId="12CC2ADD">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w:t>
      </w:r>
      <w:r>
        <w:rPr>
          <w:rFonts w:hint="eastAsia" w:ascii="宋体" w:hAnsi="宋体" w:eastAsia="宋体" w:cs="宋体"/>
          <w:sz w:val="24"/>
          <w:szCs w:val="24"/>
          <w:highlight w:val="none"/>
          <w:lang w:val="en-US" w:eastAsia="zh-CN"/>
        </w:rPr>
        <w:t>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时至2025年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日1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时，</w:t>
      </w:r>
      <w:r>
        <w:rPr>
          <w:rFonts w:hint="eastAsia" w:ascii="宋体" w:hAnsi="宋体" w:eastAsia="宋体" w:cs="宋体"/>
          <w:sz w:val="24"/>
          <w:szCs w:val="24"/>
          <w:lang w:val="en-US" w:eastAsia="zh-CN"/>
        </w:rPr>
        <w:t>逾期送达的响应文件（含电子版），招标人不予受理。</w:t>
      </w:r>
    </w:p>
    <w:p w14:paraId="43F52B97">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泰州市高港区长江路18号       </w:t>
      </w:r>
    </w:p>
    <w:p w14:paraId="2002FCC8">
      <w:pPr>
        <w:widowControl/>
        <w:spacing w:line="360" w:lineRule="auto"/>
        <w:jc w:val="left"/>
        <w:rPr>
          <w:color w:val="000000"/>
          <w:kern w:val="0"/>
          <w:sz w:val="24"/>
          <w:szCs w:val="24"/>
        </w:rPr>
      </w:pPr>
      <w:r>
        <w:rPr>
          <w:b/>
          <w:bCs/>
          <w:color w:val="000000"/>
          <w:kern w:val="0"/>
          <w:sz w:val="24"/>
          <w:szCs w:val="24"/>
        </w:rPr>
        <w:t>五、联系方式</w:t>
      </w:r>
    </w:p>
    <w:p w14:paraId="430B0E03">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6E364D0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7D855E6C">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 倪泽鑫   </w:t>
      </w:r>
    </w:p>
    <w:p w14:paraId="3833E37C">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18014532400  </w:t>
      </w:r>
    </w:p>
    <w:p w14:paraId="03FC7C6C">
      <w:pPr>
        <w:spacing w:line="360" w:lineRule="auto"/>
        <w:ind w:firstLine="420" w:firstLineChars="200"/>
        <w:rPr>
          <w:color w:val="000000"/>
          <w:szCs w:val="21"/>
        </w:rPr>
      </w:pPr>
    </w:p>
    <w:p w14:paraId="02E1300F">
      <w:pPr>
        <w:spacing w:line="360" w:lineRule="auto"/>
        <w:ind w:firstLine="480" w:firstLineChars="200"/>
        <w:jc w:val="right"/>
        <w:rPr>
          <w:color w:val="000000"/>
          <w:szCs w:val="21"/>
          <w:highlight w:val="none"/>
        </w:rPr>
      </w:pPr>
      <w:r>
        <w:rPr>
          <w:rFonts w:hint="eastAsia"/>
          <w:color w:val="000000"/>
          <w:kern w:val="0"/>
          <w:sz w:val="24"/>
          <w:szCs w:val="24"/>
          <w:highlight w:val="none"/>
          <w:u w:val="single"/>
        </w:rPr>
        <w:t>202</w:t>
      </w:r>
      <w:r>
        <w:rPr>
          <w:rFonts w:hint="eastAsia"/>
          <w:color w:val="000000"/>
          <w:kern w:val="0"/>
          <w:sz w:val="24"/>
          <w:szCs w:val="24"/>
          <w:highlight w:val="none"/>
          <w:u w:val="single"/>
          <w:lang w:val="en-US" w:eastAsia="zh-CN"/>
        </w:rPr>
        <w:t>5</w:t>
      </w:r>
      <w:r>
        <w:rPr>
          <w:color w:val="000000"/>
          <w:kern w:val="0"/>
          <w:sz w:val="24"/>
          <w:szCs w:val="24"/>
          <w:highlight w:val="none"/>
        </w:rPr>
        <w:t>年</w:t>
      </w:r>
      <w:r>
        <w:rPr>
          <w:rFonts w:hint="eastAsia"/>
          <w:color w:val="000000"/>
          <w:kern w:val="0"/>
          <w:sz w:val="24"/>
          <w:szCs w:val="24"/>
          <w:highlight w:val="none"/>
          <w:u w:val="single"/>
          <w:lang w:val="en-US" w:eastAsia="zh-CN"/>
        </w:rPr>
        <w:t>11</w:t>
      </w:r>
      <w:r>
        <w:rPr>
          <w:color w:val="000000"/>
          <w:kern w:val="0"/>
          <w:sz w:val="24"/>
          <w:szCs w:val="24"/>
          <w:highlight w:val="none"/>
        </w:rPr>
        <w:t>月</w:t>
      </w:r>
      <w:r>
        <w:rPr>
          <w:rFonts w:hint="eastAsia"/>
          <w:color w:val="000000"/>
          <w:kern w:val="0"/>
          <w:sz w:val="24"/>
          <w:szCs w:val="24"/>
          <w:highlight w:val="none"/>
          <w:u w:val="single"/>
        </w:rPr>
        <w:t xml:space="preserve"> </w:t>
      </w:r>
      <w:r>
        <w:rPr>
          <w:rFonts w:hint="eastAsia"/>
          <w:color w:val="000000"/>
          <w:kern w:val="0"/>
          <w:sz w:val="24"/>
          <w:szCs w:val="24"/>
          <w:highlight w:val="none"/>
          <w:u w:val="single"/>
          <w:lang w:val="en-US" w:eastAsia="zh-CN"/>
        </w:rPr>
        <w:t>8</w:t>
      </w:r>
      <w:r>
        <w:rPr>
          <w:rFonts w:hint="eastAsia"/>
          <w:color w:val="000000"/>
          <w:kern w:val="0"/>
          <w:sz w:val="24"/>
          <w:szCs w:val="24"/>
          <w:highlight w:val="none"/>
          <w:u w:val="single"/>
        </w:rPr>
        <w:t xml:space="preserve"> </w:t>
      </w:r>
      <w:r>
        <w:rPr>
          <w:color w:val="000000"/>
          <w:kern w:val="0"/>
          <w:sz w:val="24"/>
          <w:szCs w:val="24"/>
          <w:highlight w:val="none"/>
        </w:rPr>
        <w:t>日</w:t>
      </w:r>
    </w:p>
    <w:p w14:paraId="2D9E70FA">
      <w:pPr>
        <w:spacing w:line="360" w:lineRule="auto"/>
        <w:ind w:firstLine="420" w:firstLineChars="200"/>
        <w:jc w:val="right"/>
        <w:rPr>
          <w:color w:val="000000"/>
          <w:szCs w:val="21"/>
          <w:shd w:val="pct10" w:color="auto" w:fill="FFFFFF"/>
        </w:rPr>
      </w:pPr>
    </w:p>
    <w:p w14:paraId="1E4AA10E">
      <w:pPr>
        <w:spacing w:line="360" w:lineRule="auto"/>
        <w:ind w:firstLine="420" w:firstLineChars="200"/>
        <w:jc w:val="right"/>
        <w:rPr>
          <w:color w:val="000000"/>
          <w:szCs w:val="21"/>
          <w:shd w:val="pct10" w:color="auto" w:fill="FFFFFF"/>
        </w:rPr>
      </w:pPr>
    </w:p>
    <w:p w14:paraId="230693BE">
      <w:pPr>
        <w:spacing w:line="360" w:lineRule="auto"/>
        <w:ind w:firstLine="420" w:firstLineChars="200"/>
        <w:jc w:val="right"/>
        <w:rPr>
          <w:rFonts w:hint="eastAsia"/>
          <w:color w:val="000000"/>
          <w:szCs w:val="21"/>
          <w:shd w:val="pct10" w:color="auto" w:fill="FFFFFF"/>
        </w:rPr>
      </w:pPr>
    </w:p>
    <w:p w14:paraId="7A91978E">
      <w:pPr>
        <w:spacing w:line="360" w:lineRule="auto"/>
        <w:ind w:firstLine="420" w:firstLineChars="200"/>
        <w:jc w:val="right"/>
        <w:rPr>
          <w:rFonts w:hint="eastAsia"/>
          <w:color w:val="000000"/>
          <w:szCs w:val="21"/>
          <w:shd w:val="pct10" w:color="auto" w:fill="FFFFFF"/>
        </w:rPr>
      </w:pPr>
    </w:p>
    <w:p w14:paraId="59E31182">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bookmarkStart w:id="99" w:name="_GoBack"/>
      <w:bookmarkEnd w:id="99"/>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5FD2233E">
      <w:pPr>
        <w:pStyle w:val="2"/>
        <w:adjustRightInd w:val="0"/>
        <w:spacing w:before="0" w:after="0" w:line="360" w:lineRule="auto"/>
        <w:jc w:val="center"/>
        <w:rPr>
          <w:color w:val="000000"/>
          <w:sz w:val="36"/>
          <w:szCs w:val="36"/>
        </w:rPr>
      </w:pPr>
      <w:bookmarkStart w:id="2" w:name="_Toc47415923"/>
      <w:bookmarkStart w:id="3" w:name="_Toc49019216"/>
      <w:bookmarkStart w:id="4" w:name="_Toc47416177"/>
      <w:bookmarkStart w:id="5" w:name="_Toc22880"/>
      <w:bookmarkStart w:id="6" w:name="_Toc18851"/>
      <w:bookmarkStart w:id="7" w:name="_Toc7636"/>
    </w:p>
    <w:p w14:paraId="4CEDDE5C">
      <w:pPr>
        <w:rPr>
          <w:color w:val="000000"/>
          <w:sz w:val="36"/>
          <w:szCs w:val="36"/>
        </w:rPr>
      </w:pPr>
    </w:p>
    <w:p w14:paraId="4D92B3B4">
      <w:pPr>
        <w:rPr>
          <w:color w:val="000000"/>
          <w:sz w:val="36"/>
          <w:szCs w:val="36"/>
        </w:rPr>
      </w:pPr>
    </w:p>
    <w:p w14:paraId="55C0A206">
      <w:pPr>
        <w:rPr>
          <w:color w:val="000000"/>
          <w:sz w:val="36"/>
          <w:szCs w:val="36"/>
        </w:rPr>
      </w:pPr>
    </w:p>
    <w:p w14:paraId="6755B7F2">
      <w:pPr>
        <w:rPr>
          <w:color w:val="000000"/>
          <w:sz w:val="36"/>
          <w:szCs w:val="36"/>
        </w:rPr>
      </w:pPr>
    </w:p>
    <w:p w14:paraId="341067D9">
      <w:pPr>
        <w:pStyle w:val="2"/>
        <w:adjustRightInd w:val="0"/>
        <w:spacing w:before="0" w:after="0" w:line="360" w:lineRule="auto"/>
        <w:jc w:val="center"/>
        <w:rPr>
          <w:color w:val="000000"/>
          <w:sz w:val="36"/>
          <w:szCs w:val="36"/>
        </w:rPr>
      </w:pPr>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3"/>
        <w:tabs>
          <w:tab w:val="left" w:pos="2160"/>
        </w:tabs>
        <w:spacing w:before="0" w:after="0" w:line="360" w:lineRule="auto"/>
        <w:jc w:val="center"/>
        <w:rPr>
          <w:rFonts w:hint="eastAsia" w:ascii="宋体" w:hAnsi="宋体" w:eastAsia="宋体" w:cs="宋体"/>
          <w:color w:val="000000"/>
          <w:sz w:val="21"/>
          <w:szCs w:val="21"/>
        </w:rPr>
      </w:pPr>
      <w:bookmarkStart w:id="8" w:name="_Toc2952"/>
      <w:bookmarkStart w:id="9" w:name="_Toc24545"/>
      <w:bookmarkStart w:id="10" w:name="_Toc16809"/>
      <w:r>
        <w:rPr>
          <w:rFonts w:hint="eastAsia" w:ascii="宋体" w:hAnsi="宋体" w:eastAsia="宋体" w:cs="宋体"/>
          <w:bCs w:val="0"/>
          <w:color w:val="000000"/>
          <w:sz w:val="21"/>
          <w:szCs w:val="21"/>
        </w:rPr>
        <w:t>一、响应人须知前附表</w:t>
      </w:r>
      <w:bookmarkEnd w:id="8"/>
      <w:bookmarkEnd w:id="9"/>
      <w:bookmarkEnd w:id="10"/>
    </w:p>
    <w:tbl>
      <w:tblPr>
        <w:tblStyle w:val="1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szCs w:val="21"/>
              </w:rPr>
              <w:t>采购人及联系方式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rPr>
              <w:t>采购方式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cs="宋体"/>
                <w:color w:val="000000"/>
                <w:szCs w:val="21"/>
              </w:rPr>
            </w:pPr>
            <w:r>
              <w:rPr>
                <w:rFonts w:hint="eastAsia" w:ascii="宋体" w:hAnsi="宋体" w:cs="宋体"/>
                <w:color w:val="000000"/>
                <w:szCs w:val="21"/>
              </w:rPr>
              <w:t>询价采购</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rPr>
              <w:t>采购类型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szCs w:val="21"/>
              </w:rPr>
              <w:t>采购文件的澄清、修改、补充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w:t>
            </w:r>
            <w:r>
              <w:rPr>
                <w:rFonts w:hint="eastAsia" w:ascii="宋体" w:hAnsi="宋体" w:cs="宋体"/>
                <w:color w:val="000000"/>
                <w:szCs w:val="21"/>
                <w:highlight w:val="none"/>
              </w:rPr>
              <w:t>人需</w:t>
            </w:r>
            <w:r>
              <w:rPr>
                <w:rFonts w:hint="eastAsia" w:ascii="宋体" w:hAnsi="宋体" w:cs="宋体"/>
                <w:color w:val="000000"/>
                <w:szCs w:val="21"/>
                <w:highlight w:val="none"/>
                <w:u w:val="single"/>
              </w:rPr>
              <w:t>202</w:t>
            </w:r>
            <w:r>
              <w:rPr>
                <w:rFonts w:hint="eastAsia" w:ascii="宋体" w:hAnsi="宋体" w:cs="宋体"/>
                <w:color w:val="000000"/>
                <w:szCs w:val="21"/>
                <w:highlight w:val="none"/>
                <w:u w:val="single"/>
                <w:lang w:val="en-US" w:eastAsia="zh-CN"/>
              </w:rPr>
              <w:t>5</w:t>
            </w:r>
            <w:r>
              <w:rPr>
                <w:rFonts w:hint="eastAsia" w:ascii="宋体" w:hAnsi="宋体" w:cs="宋体"/>
                <w:color w:val="000000"/>
                <w:szCs w:val="21"/>
                <w:highlight w:val="none"/>
              </w:rPr>
              <w:t>年</w:t>
            </w:r>
            <w:r>
              <w:rPr>
                <w:rFonts w:hint="eastAsia" w:ascii="宋体" w:hAnsi="宋体" w:cs="宋体"/>
                <w:color w:val="000000"/>
                <w:szCs w:val="21"/>
                <w:highlight w:val="none"/>
                <w:shd w:val="pct10" w:color="auto" w:fill="FFFFFF"/>
              </w:rPr>
              <w:t>_</w:t>
            </w:r>
            <w:r>
              <w:rPr>
                <w:rFonts w:hint="eastAsia" w:ascii="宋体" w:hAnsi="宋体" w:cs="宋体"/>
                <w:color w:val="000000"/>
                <w:szCs w:val="21"/>
                <w:highlight w:val="none"/>
                <w:shd w:val="pct10" w:color="auto" w:fill="FFFFFF"/>
                <w:lang w:val="en-US" w:eastAsia="zh-CN"/>
              </w:rPr>
              <w:t>11</w:t>
            </w:r>
            <w:r>
              <w:rPr>
                <w:rFonts w:hint="eastAsia" w:ascii="宋体" w:hAnsi="宋体" w:cs="宋体"/>
                <w:color w:val="000000"/>
                <w:szCs w:val="21"/>
                <w:highlight w:val="none"/>
                <w:shd w:val="pct10" w:color="auto" w:fill="FFFFFF"/>
              </w:rPr>
              <w:t>_</w:t>
            </w:r>
            <w:r>
              <w:rPr>
                <w:rFonts w:hint="eastAsia" w:ascii="宋体" w:hAnsi="宋体" w:cs="宋体"/>
                <w:color w:val="000000"/>
                <w:szCs w:val="21"/>
                <w:highlight w:val="none"/>
              </w:rPr>
              <w:t>月</w:t>
            </w:r>
            <w:r>
              <w:rPr>
                <w:rFonts w:hint="eastAsia" w:ascii="宋体" w:hAnsi="宋体" w:cs="宋体"/>
                <w:color w:val="000000"/>
                <w:szCs w:val="21"/>
                <w:highlight w:val="none"/>
                <w:shd w:val="pct10" w:color="auto" w:fill="FFFFFF"/>
              </w:rPr>
              <w:t>_</w:t>
            </w:r>
            <w:r>
              <w:rPr>
                <w:rFonts w:hint="eastAsia" w:ascii="宋体" w:hAnsi="宋体" w:cs="宋体"/>
                <w:color w:val="000000"/>
                <w:szCs w:val="21"/>
                <w:highlight w:val="none"/>
                <w:shd w:val="pct10" w:color="auto" w:fill="FFFFFF"/>
                <w:lang w:val="en-US" w:eastAsia="zh-CN"/>
              </w:rPr>
              <w:t>10</w:t>
            </w:r>
            <w:r>
              <w:rPr>
                <w:rFonts w:hint="eastAsia" w:ascii="宋体" w:hAnsi="宋体" w:cs="宋体"/>
                <w:color w:val="000000"/>
                <w:szCs w:val="21"/>
                <w:highlight w:val="none"/>
              </w:rPr>
              <w:t>日</w:t>
            </w:r>
            <w:r>
              <w:rPr>
                <w:rFonts w:hint="eastAsia" w:ascii="宋体" w:hAnsi="宋体" w:cs="宋体"/>
                <w:color w:val="000000"/>
                <w:szCs w:val="21"/>
                <w:highlight w:val="none"/>
                <w:shd w:val="pct10" w:color="auto" w:fill="FFFFFF"/>
              </w:rPr>
              <w:t>__</w:t>
            </w:r>
            <w:r>
              <w:rPr>
                <w:rFonts w:hint="eastAsia" w:ascii="宋体" w:hAnsi="宋体" w:cs="宋体"/>
                <w:color w:val="000000"/>
                <w:szCs w:val="21"/>
                <w:highlight w:val="none"/>
                <w:shd w:val="pct10" w:color="auto" w:fill="FFFFFF"/>
                <w:lang w:val="en-US" w:eastAsia="zh-CN"/>
              </w:rPr>
              <w:t>14</w:t>
            </w:r>
            <w:r>
              <w:rPr>
                <w:rFonts w:hint="eastAsia" w:ascii="宋体" w:hAnsi="宋体" w:cs="宋体"/>
                <w:color w:val="000000"/>
                <w:szCs w:val="21"/>
                <w:highlight w:val="none"/>
                <w:shd w:val="pct10" w:color="auto" w:fill="FFFFFF"/>
              </w:rPr>
              <w:t>_</w:t>
            </w:r>
            <w:r>
              <w:rPr>
                <w:rFonts w:hint="eastAsia" w:ascii="宋体" w:hAnsi="宋体" w:cs="宋体"/>
                <w:color w:val="000000"/>
                <w:szCs w:val="21"/>
                <w:highlight w:val="none"/>
              </w:rPr>
              <w:t>时</w:t>
            </w:r>
            <w:r>
              <w:rPr>
                <w:rFonts w:hint="eastAsia" w:ascii="宋体" w:hAnsi="宋体" w:cs="宋体"/>
                <w:color w:val="000000"/>
                <w:szCs w:val="21"/>
              </w:rPr>
              <w:t>前</w:t>
            </w:r>
            <w:r>
              <w:rPr>
                <w:rFonts w:hint="eastAsia" w:ascii="宋体" w:hAnsi="宋体" w:cs="宋体"/>
                <w:color w:val="000000"/>
                <w:szCs w:val="21"/>
                <w:lang w:val="en-US" w:eastAsia="zh-CN"/>
              </w:rPr>
              <w:t>以递交函件或电话方式</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rPr>
              <w:t>采购方将在收到澄清后</w:t>
            </w:r>
            <w:r>
              <w:rPr>
                <w:rFonts w:hint="eastAsia" w:ascii="宋体" w:hAnsi="宋体" w:cs="宋体"/>
                <w:color w:val="000000"/>
                <w:szCs w:val="21"/>
                <w:lang w:val="en-US" w:eastAsia="zh-CN"/>
              </w:rPr>
              <w:t>12</w:t>
            </w:r>
            <w:r>
              <w:rPr>
                <w:rFonts w:hint="eastAsia" w:ascii="宋体" w:hAnsi="宋体" w:cs="宋体"/>
                <w:color w:val="000000"/>
                <w:szCs w:val="21"/>
              </w:rPr>
              <w:t>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rPr>
              <w:t>含税</w:t>
            </w: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无</w:t>
            </w:r>
          </w:p>
          <w:p w14:paraId="1CC262E2">
            <w:pPr>
              <w:spacing w:line="360" w:lineRule="auto"/>
              <w:rPr>
                <w:rFonts w:hint="default" w:ascii="宋体" w:hAnsi="宋体" w:eastAsia="宋体" w:cs="宋体"/>
                <w:color w:val="000000"/>
                <w:szCs w:val="21"/>
                <w:u w:val="single"/>
                <w:lang w:val="en-US" w:eastAsia="zh-CN"/>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有，最高限价：</w:t>
            </w:r>
            <w:r>
              <w:rPr>
                <w:rFonts w:hint="eastAsia" w:ascii="宋体" w:hAnsi="宋体" w:cs="宋体"/>
                <w:color w:val="000000"/>
                <w:szCs w:val="21"/>
                <w:highlight w:val="none"/>
                <w:lang w:val="en-US" w:eastAsia="zh-CN"/>
              </w:rPr>
              <w:t>48000</w:t>
            </w:r>
            <w:r>
              <w:rPr>
                <w:rFonts w:hint="eastAsia"/>
                <w:color w:val="000000"/>
                <w:kern w:val="0"/>
                <w:sz w:val="24"/>
                <w:szCs w:val="24"/>
                <w:highlight w:val="none"/>
                <w:u w:val="single"/>
              </w:rPr>
              <w:t>元</w:t>
            </w:r>
            <w:r>
              <w:rPr>
                <w:rFonts w:hint="eastAsia"/>
                <w:color w:val="000000"/>
                <w:kern w:val="0"/>
                <w:sz w:val="24"/>
                <w:szCs w:val="24"/>
                <w:highlight w:val="none"/>
                <w:u w:val="single"/>
                <w:lang w:val="en-US" w:eastAsia="zh-CN"/>
              </w:rPr>
              <w:t>/年</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经评审的最低投标价法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3"/>
        <w:tabs>
          <w:tab w:val="left" w:pos="2160"/>
        </w:tabs>
        <w:spacing w:before="0" w:after="0" w:line="360" w:lineRule="auto"/>
        <w:jc w:val="center"/>
        <w:rPr>
          <w:rFonts w:ascii="Times New Roman" w:hAnsi="Times New Roman" w:eastAsia="宋体"/>
          <w:bCs w:val="0"/>
          <w:color w:val="000000"/>
          <w:sz w:val="21"/>
          <w:szCs w:val="21"/>
        </w:rPr>
      </w:pPr>
      <w:bookmarkStart w:id="11" w:name="_Toc5577"/>
      <w:bookmarkStart w:id="12" w:name="_Toc12735"/>
      <w:bookmarkStart w:id="13" w:name="_Toc2444"/>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本采购文件仅适用于本项目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2.1  采购人：指依法提出采购项目进行采购的法人或其他组织。</w:t>
      </w:r>
    </w:p>
    <w:p w14:paraId="601D9679">
      <w:pPr>
        <w:spacing w:line="360" w:lineRule="auto"/>
        <w:rPr>
          <w:color w:val="000000"/>
          <w:szCs w:val="21"/>
        </w:rPr>
      </w:pPr>
      <w:r>
        <w:rPr>
          <w:color w:val="000000"/>
          <w:szCs w:val="21"/>
        </w:rPr>
        <w:t>2.2  响应人：指响应询价采购，参与询价竞争的法人或其他组织。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2.4  采购文件：本文所称采购文件指采购人发出的询价采购文件。</w:t>
      </w:r>
    </w:p>
    <w:p w14:paraId="5E3A227D">
      <w:pPr>
        <w:spacing w:line="360" w:lineRule="auto"/>
        <w:ind w:left="473" w:hanging="472" w:hangingChars="225"/>
        <w:rPr>
          <w:color w:val="000000"/>
          <w:szCs w:val="21"/>
        </w:rPr>
      </w:pPr>
      <w:r>
        <w:rPr>
          <w:color w:val="000000"/>
          <w:szCs w:val="21"/>
        </w:rPr>
        <w:t>2.5  响应文件：本文所称响应文件指响应人按照采购文件要求编制的应答承诺文件。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资格条件的有能力提供采购项目服务的响应人均可参加询价。</w:t>
      </w:r>
    </w:p>
    <w:p w14:paraId="3180F2FD">
      <w:pPr>
        <w:spacing w:line="360" w:lineRule="auto"/>
        <w:ind w:left="473" w:hanging="472" w:hangingChars="225"/>
        <w:rPr>
          <w:color w:val="000000"/>
          <w:szCs w:val="21"/>
        </w:rPr>
      </w:pPr>
      <w:r>
        <w:rPr>
          <w:color w:val="000000"/>
          <w:szCs w:val="21"/>
        </w:rPr>
        <w:t>3.2  响应人必须在电子采购平台注册，报名、下载采购文件，递交响应文件后方可参加询价。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服务系指响应人按采购文件规定，须向采购人提供的符合采购文件要求的相关的服务。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响应人应承担与其参加询价有关的所有费用。不论询价过程和结果如何，响应人应自行承担所有与参加询价有关的费用，采购人在任何情况下均无义务和责任承担这些费用。</w:t>
      </w:r>
    </w:p>
    <w:p w14:paraId="12DC5B58">
      <w:pPr>
        <w:spacing w:line="360" w:lineRule="auto"/>
        <w:ind w:left="473" w:hanging="472" w:hangingChars="225"/>
        <w:rPr>
          <w:color w:val="000000"/>
          <w:szCs w:val="21"/>
        </w:rPr>
      </w:pPr>
      <w:r>
        <w:rPr>
          <w:color w:val="000000"/>
          <w:szCs w:val="21"/>
        </w:rPr>
        <w:t>5.2 采购代理服务费</w:t>
      </w:r>
    </w:p>
    <w:p w14:paraId="35B1F7B5">
      <w:pPr>
        <w:spacing w:line="360" w:lineRule="auto"/>
        <w:ind w:firstLine="420" w:firstLineChars="200"/>
        <w:rPr>
          <w:color w:val="000000"/>
          <w:szCs w:val="21"/>
        </w:rPr>
      </w:pPr>
      <w:r>
        <w:rPr>
          <w:color w:val="000000"/>
          <w:szCs w:val="21"/>
        </w:rPr>
        <w:t>本次采购约定成交人向采购代理机构支付代理服务费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 xml:space="preserve">6.1 响应人须知前附表规定组织踏勘现场的，采购人按响应人须知前附表规定的时间、地点组织响应人踏勘项目现场。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除采购人的原因外，响应人自行负责在踏勘现场中所发生的人员伤亡和财产损失。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6.3  采购人在踏勘现场中介绍的项目场地和相关的周边环境情况，供响应人在编制响应文件时参考，采购人不对响应人据此作出的判断和决策负责。</w:t>
      </w:r>
    </w:p>
    <w:p w14:paraId="1F33B285">
      <w:pPr>
        <w:spacing w:line="360" w:lineRule="auto"/>
        <w:outlineLvl w:val="2"/>
        <w:rPr>
          <w:b/>
          <w:color w:val="000000"/>
          <w:szCs w:val="21"/>
        </w:rPr>
      </w:pPr>
      <w:r>
        <w:rPr>
          <w:b/>
          <w:color w:val="000000"/>
          <w:szCs w:val="21"/>
        </w:rPr>
        <w:t>（二）采购文件</w:t>
      </w:r>
    </w:p>
    <w:p w14:paraId="6FC8DC58">
      <w:pPr>
        <w:spacing w:line="360" w:lineRule="auto"/>
        <w:rPr>
          <w:b/>
          <w:color w:val="000000"/>
          <w:szCs w:val="21"/>
        </w:rPr>
      </w:pPr>
      <w:r>
        <w:rPr>
          <w:b/>
          <w:color w:val="000000"/>
          <w:szCs w:val="21"/>
        </w:rPr>
        <w:t>7.  采购文件的构成</w:t>
      </w:r>
    </w:p>
    <w:p w14:paraId="334FAF3A">
      <w:pPr>
        <w:spacing w:line="360" w:lineRule="auto"/>
        <w:ind w:left="473" w:hanging="472" w:hangingChars="225"/>
        <w:rPr>
          <w:color w:val="000000"/>
          <w:szCs w:val="21"/>
        </w:rPr>
      </w:pPr>
      <w:r>
        <w:rPr>
          <w:color w:val="000000"/>
          <w:kern w:val="0"/>
          <w:szCs w:val="21"/>
        </w:rPr>
        <w:t>7.1</w:t>
      </w:r>
      <w:r>
        <w:rPr>
          <w:color w:val="000000"/>
          <w:szCs w:val="21"/>
        </w:rPr>
        <w:t>采购文件由下列文件以及在询价采购过程中发出的修正和补充文件组成：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响应人下载采购文件过程中，如发现下载不成功或下载的文件格式有误等问题请务必于采购文件下载期内联系</w:t>
      </w:r>
      <w:r>
        <w:rPr>
          <w:rFonts w:hint="eastAsia"/>
          <w:color w:val="000000"/>
          <w:kern w:val="0"/>
          <w:szCs w:val="21"/>
        </w:rPr>
        <w:t>电子采购平台</w:t>
      </w:r>
      <w:r>
        <w:rPr>
          <w:color w:val="000000"/>
          <w:kern w:val="0"/>
          <w:szCs w:val="21"/>
        </w:rPr>
        <w:t>在线咨询客服热线。如果响应人不按上述要求提出而造成不良后果，</w:t>
      </w:r>
      <w:r>
        <w:rPr>
          <w:rFonts w:hint="eastAsia"/>
          <w:color w:val="000000"/>
          <w:kern w:val="0"/>
          <w:szCs w:val="21"/>
        </w:rPr>
        <w:t>电子采购平台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采购文件中所有的事项、格式、条款和要求等。响应人没有按照采购文件要求提交全部资料，或者响应文件没有对采购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响应文件一经递交成功即表示响应人确认采购文件的法律效力，并对此采购文件提出的要求做出相应的响应，承担与采购文件要求相适应的民事、经济和法律责任。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由于响应人对采购文件的误解与疏忽或报价误差，而导致询价失败或成交后的任何风险，其责任均由响应人自负。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8.  采购文件的澄清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color w:val="000000"/>
          <w:kern w:val="0"/>
          <w:szCs w:val="21"/>
        </w:rPr>
        <w:t>采购文件</w:t>
      </w:r>
      <w:r>
        <w:rPr>
          <w:color w:val="000000"/>
          <w:szCs w:val="21"/>
        </w:rPr>
        <w:t>进行澄清的响应人，均应在响应人须知前附表规定的时间前通过电子采购平台向采购人提出，如有必要对采购文件进行澄清、修改或补充，采购人将同样通过电子采购平台发送澄清或修改、补充通知至每一个潜在响应人，潜在响应人应自行关注电子采购平台，采购人不再逐一通知响应人。响应人应在收到通知后的电子采购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8.2  采购人如果召开答疑会，将通知所有已下载采购文件并已登记备案的响应人参加答疑会。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9.   采购文件的修改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在响应文件递交截止时间前的任何时候，无论出于何种原因，采购人可主动地或在解答响应人提出的澄清问题时对采购文件进行修改，修改的内容为采购文件的组成部分。</w:t>
      </w:r>
    </w:p>
    <w:p w14:paraId="7E6A86A9">
      <w:pPr>
        <w:spacing w:line="360" w:lineRule="auto"/>
        <w:ind w:left="525" w:hanging="525" w:hangingChars="250"/>
        <w:rPr>
          <w:color w:val="000000"/>
          <w:szCs w:val="21"/>
        </w:rPr>
      </w:pPr>
      <w:r>
        <w:rPr>
          <w:color w:val="000000"/>
          <w:szCs w:val="21"/>
        </w:rPr>
        <w:t>9.2  采购文件的修改将以书面形式通知所有已下载采购文件的响应人。采购文件的修改作为采购文件的组成部分，对响应人具有约束力。响应人在收到上述通知后，应立即以书面形式向采购人确认，24小时内采购人未接到回复确认的，采购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为使响应人有充分时间对采购文件的修改部分进行研究，采购人可适当延长响应文件递交截止时间。并通知所有下载采购文件的响应人。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color w:val="000000"/>
          <w:szCs w:val="21"/>
        </w:rPr>
        <w:t>采购人</w:t>
      </w:r>
      <w:r>
        <w:rPr>
          <w:color w:val="000000"/>
          <w:kern w:val="0"/>
          <w:szCs w:val="21"/>
        </w:rPr>
        <w:t>将通过</w:t>
      </w:r>
      <w:r>
        <w:rPr>
          <w:color w:val="000000"/>
          <w:szCs w:val="21"/>
        </w:rPr>
        <w:t>电子采购平台</w:t>
      </w:r>
      <w:r>
        <w:rPr>
          <w:color w:val="000000"/>
          <w:kern w:val="0"/>
          <w:szCs w:val="21"/>
        </w:rPr>
        <w:t>送达所有与通知有关的已登记并下载采购文件的响应人。收到通知的响应人应以同等方式立即予以回复确认。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响应人应在认真阅读，充分理解本采购文件所有内容（包括所有的补充，修改内容）的基础上，按照采购文件的要求编制完整的响应文件。</w:t>
      </w:r>
    </w:p>
    <w:p w14:paraId="3EBF58A6">
      <w:pPr>
        <w:spacing w:line="360" w:lineRule="auto"/>
        <w:ind w:left="630" w:hanging="630" w:hangingChars="300"/>
        <w:rPr>
          <w:color w:val="000000"/>
          <w:szCs w:val="21"/>
          <w:lang w:val="zh-CN"/>
        </w:rPr>
      </w:pPr>
      <w:r>
        <w:rPr>
          <w:color w:val="000000"/>
          <w:szCs w:val="21"/>
          <w:lang w:val="zh-CN"/>
        </w:rPr>
        <w:t>11.2  采购文件对响应文件格式有要求的应按格式逐项填写，不准有空项；无相应内容可填项的，应填写“无”、“没有相应指标”等明确的回答文字。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b/>
          <w:color w:val="000000"/>
          <w:szCs w:val="21"/>
        </w:rPr>
        <w:t>采购人</w:t>
      </w:r>
      <w:r>
        <w:rPr>
          <w:b/>
          <w:color w:val="000000"/>
          <w:szCs w:val="21"/>
          <w:lang w:val="zh-CN"/>
        </w:rPr>
        <w:t>对其中任何资料在合同最终授予前进一步审查的要求，如若存在响应人利用弄虚作假等不当手段谋取成交的，一经查实，采购人有权予以否决，并保留进一步追究其责任的权利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如果响应文件填报的内容不详，或没有提供采购文件中所要求的全部资料及数据，给评审造成困难，责任由响应人自行承担。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采购文件内容要求编制响应文件，逐项逐条回答采购文件。如响应人没有对本采购文件的要求提出偏离，采购人可认为响应人完全接受和同意本采购文件的要求。响应文件对采购文件未提出偏离的条款，均被视为接受和同意。响应文件与采购文件有偏离之处，无论多么微小，均应按采购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响应人只能推荐一个方案参与竞标，采购文件另有要求的，需注明“备选、可选项”等类似字样加以区分。备选方案不作为评审的依据，只有成交后，采购人才有可能考虑其备选方案。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招标采购</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采购人</w:t>
      </w:r>
      <w:r>
        <w:rPr>
          <w:color w:val="000000"/>
          <w:szCs w:val="21"/>
          <w:lang w:val="zh-CN"/>
        </w:rPr>
        <w:t>采用电子</w:t>
      </w:r>
      <w:r>
        <w:rPr>
          <w:rFonts w:hint="eastAsia"/>
          <w:color w:val="000000"/>
          <w:szCs w:val="21"/>
        </w:rPr>
        <w:t>采购</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color w:val="000000"/>
          <w:szCs w:val="21"/>
        </w:rPr>
        <w:t>采购人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除非采购文件中另有规定，计量单位均采用中华人民共和国法定的计量单位。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响应人编制的响应文件应严格按照采购文件规定进行编制，其内容应至少包含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响应人应按照采购文件中规定的格式制作响应文件，并完整的进行填写，表格可以按同样格式扩展，对于响应人擅自更改格式而带来的风险由其自行承担。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响应人应按照采购文件规定的内容、责任范围以及合同条件进行报价。并按报价部分规定的格式报出分项价格和总价。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响应人报价应包括响应人成交后为完成采购项目规定的全部工作需支付的一切费用和拟获得的利润，并考虑了应承担的风险。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响应人必须根据采购文件报价格式进行报价，若响应人提供免费服务，应在响应文件中说明或在报价表中填“免费”，否则视为已包含在总报价中。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响应文件中每一项内容只允许有一个报价，任何有可供选择的报价将不予接受，采购文件另有要求的按其要求执行。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采购人和采购代理机构免受响应人的行为而引起的风险，根据第17.5款，发生这种行为其询价保证金将不予退还，询价保证金不足以弥补采购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17.4  采购方最迟在采购人与成交人签订合同、成交人交纳履约保证（如合同要求）后5日内退还询价保证金。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询价有效期自本采购文件规定的响应文件递交截止时间起开始生效，并在“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color w:val="000000"/>
          <w:szCs w:val="21"/>
        </w:rPr>
        <w:t>采购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进行编写，如有必要，可以增加附页，作为响应文件的组成部分。其中，响应人可在满足采购文件实质性要求的基础上，提出比采购文件要求更有利于采购人的承诺。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w:t>
      </w:r>
      <w:r>
        <w:rPr>
          <w:rFonts w:hint="eastAsia"/>
          <w:bCs/>
          <w:color w:val="000000"/>
          <w:szCs w:val="21"/>
          <w:lang w:val="en-US" w:eastAsia="zh-CN"/>
        </w:rPr>
        <w:t>线下</w:t>
      </w:r>
      <w:r>
        <w:rPr>
          <w:bCs/>
          <w:color w:val="000000"/>
          <w:szCs w:val="21"/>
        </w:rPr>
        <w:t>交响应文件</w:t>
      </w:r>
      <w:r>
        <w:rPr>
          <w:rFonts w:hint="eastAsia"/>
          <w:bCs/>
          <w:color w:val="000000"/>
          <w:szCs w:val="21"/>
          <w:lang w:eastAsia="zh-CN"/>
        </w:rPr>
        <w:t>，</w:t>
      </w:r>
      <w:r>
        <w:rPr>
          <w:rFonts w:hint="eastAsia"/>
          <w:bCs/>
          <w:color w:val="000000"/>
          <w:szCs w:val="21"/>
          <w:lang w:val="en-US" w:eastAsia="zh-CN"/>
        </w:rPr>
        <w:t>响应文件需密封加盖公章</w:t>
      </w:r>
      <w:r>
        <w:rPr>
          <w:bCs/>
          <w:color w:val="000000"/>
          <w:szCs w:val="21"/>
        </w:rPr>
        <w:t>。</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响应人应在不迟于“响应人须知前附表”中规定的截止日期前将响应文件递交至电子采购平台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根据本须知规定，采购人通过修改采购文件可适当推迟响应文件递交截止时间，在这种情况下，采购人和响应人受响应文件递交截止时间约束的所有权利和义务将延长至新的响应文件递交截止时间。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22.1  采购人将拒绝接受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w:t>
      </w:r>
      <w:r>
        <w:rPr>
          <w:rFonts w:hint="eastAsia"/>
          <w:color w:val="000000"/>
          <w:kern w:val="0"/>
          <w:szCs w:val="21"/>
          <w:lang w:val="en-US" w:eastAsia="zh-CN"/>
        </w:rPr>
        <w:t>线下</w:t>
      </w:r>
      <w:r>
        <w:rPr>
          <w:color w:val="000000"/>
          <w:kern w:val="0"/>
          <w:szCs w:val="21"/>
        </w:rPr>
        <w:t>开启的方式。</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25.1  采购人将参照《中华人民共和国招标投标法》及有关法律、法规的规定依法组建询价小组。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询价小组按照有关规定由采购人代表和有关技术、经济等方面的专家组成。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询价小组负责评审工作，根据采购文件的要求对响应文件进行审查、质疑、评估和比较，出具评审报告，推荐不超过三家的成交候选人并排序。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评审将严格按照采购文件第三章规定的评审标准和办法及国家有关法律、法规的要求进行。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响应人对澄清问题的说明或答复应登录电子采购平台进行操作。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询价小组将审查响应人的资格证明文件、响应文件的有效性、完整性和对采购文件的响应程度等内容，以确定响应文件是否对采购文件的要求做出了实质性的并且完整的响应。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询价小组将确定每份响应文件是否完整以及是否对采购文件的要求作出了实质性的响应，没有重大偏离。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没有实质上响应采购文件要求的响应文件将被拒绝。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询价小组决定响应性只根据采购文件规定的评审标准和方法对响应文件进行评审，对于与客观事实明显不符的响应文件，询价小组有权否决。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如果响应人对于缺漏项或者多报项的调整不予接受，采购人有权取消其成交资格。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询价小组将对通过初步评审并实质性响应采购文件的响应文件进行详细评审。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详细评审以采购文件及其澄清文件为依据，以响应人提交的响应文件为对象，按照采购文件第三章“评审标准和办法”对所有实质上响应采购文件要求的响应文件进行评审，以确定成交候选人。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31.1 采购人按询价小组推荐的成交候选人先后顺序确定成交人。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06B769FA">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根据定标结果，采购人向成交人发出《成交通知书》</w:t>
      </w:r>
      <w:r>
        <w:rPr>
          <w:color w:val="000000"/>
          <w:kern w:val="0"/>
          <w:szCs w:val="21"/>
        </w:rPr>
        <w:t>，同时通知所有未成交的响应人。</w:t>
      </w:r>
    </w:p>
    <w:p w14:paraId="2DC9A76C">
      <w:pPr>
        <w:spacing w:line="360" w:lineRule="auto"/>
        <w:ind w:left="630" w:hanging="630" w:hangingChars="300"/>
        <w:rPr>
          <w:color w:val="000000"/>
          <w:kern w:val="0"/>
          <w:szCs w:val="21"/>
        </w:rPr>
      </w:pPr>
      <w:r>
        <w:rPr>
          <w:color w:val="000000"/>
          <w:kern w:val="0"/>
          <w:szCs w:val="21"/>
        </w:rPr>
        <w:t>32.2  《成交通知书》将构成合同的组成部分</w:t>
      </w:r>
      <w:r>
        <w:rPr>
          <w:rFonts w:hint="eastAsia"/>
          <w:color w:val="000000"/>
          <w:kern w:val="0"/>
          <w:szCs w:val="21"/>
          <w:lang w:eastAsia="zh-CN"/>
        </w:rPr>
        <w:t>（</w:t>
      </w:r>
      <w:r>
        <w:rPr>
          <w:rFonts w:hint="eastAsia"/>
          <w:color w:val="000000"/>
          <w:kern w:val="0"/>
          <w:szCs w:val="21"/>
          <w:lang w:val="en-US" w:eastAsia="zh-CN"/>
        </w:rPr>
        <w:t>如有合同</w:t>
      </w:r>
      <w:r>
        <w:rPr>
          <w:rFonts w:hint="eastAsia"/>
          <w:color w:val="000000"/>
          <w:kern w:val="0"/>
          <w:szCs w:val="21"/>
          <w:lang w:eastAsia="zh-CN"/>
        </w:rPr>
        <w:t>）</w:t>
      </w:r>
      <w:r>
        <w:rPr>
          <w:color w:val="000000"/>
          <w:kern w:val="0"/>
          <w:szCs w:val="21"/>
        </w:rPr>
        <w:t xml:space="preserve">。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成交人在接到《成交通知书》后，必须在规定的时间内，准时派法人代表授权人到指定地点按采购文件规定的合同条款和格式与采购人签订合同</w:t>
      </w:r>
      <w:r>
        <w:rPr>
          <w:rFonts w:hint="eastAsia"/>
          <w:color w:val="000000"/>
          <w:szCs w:val="21"/>
          <w:lang w:eastAsia="zh-CN"/>
        </w:rPr>
        <w:t>（</w:t>
      </w:r>
      <w:r>
        <w:rPr>
          <w:rFonts w:hint="eastAsia"/>
          <w:color w:val="000000"/>
          <w:szCs w:val="21"/>
          <w:lang w:val="en-US" w:eastAsia="zh-CN"/>
        </w:rPr>
        <w:t>如有合同</w:t>
      </w:r>
      <w:r>
        <w:rPr>
          <w:rFonts w:hint="eastAsia"/>
          <w:color w:val="000000"/>
          <w:szCs w:val="21"/>
          <w:lang w:eastAsia="zh-CN"/>
        </w:rPr>
        <w:t>）</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33.2  采购文件、成交人的响应文件及评审过程中的有关澄清文件均为签订合同的依据。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33.3  采购文件中要求成交人提交履约保证金的，成交人应在合同规定的时间前向采购人提交履约保证金。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51172548"/>
      <w:bookmarkStart w:id="16" w:name="_Toc45201056"/>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rPr>
        <w:t>采购</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竞争性谈判不得采用不正当手段妨碍、排挤其它响应人，扰乱采购市场，破坏公平竞争。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响应人若违反上述要求，其竞争性谈判资格将被取消，采购人保留进一步追究的权利。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5E884B87">
      <w:pPr>
        <w:spacing w:line="360" w:lineRule="auto"/>
        <w:ind w:left="720" w:hanging="720" w:hangingChars="300"/>
        <w:rPr>
          <w:color w:val="000000"/>
          <w:kern w:val="0"/>
          <w:sz w:val="24"/>
        </w:rPr>
      </w:pPr>
      <w:bookmarkStart w:id="17" w:name="_Toc47416201"/>
      <w:bookmarkStart w:id="18" w:name="_Toc47415947"/>
      <w:bookmarkStart w:id="19" w:name="_Toc49019240"/>
      <w:r>
        <w:rPr>
          <w:color w:val="000000"/>
          <w:kern w:val="0"/>
          <w:sz w:val="24"/>
        </w:rPr>
        <w:br w:type="page"/>
      </w:r>
    </w:p>
    <w:p w14:paraId="4DCEC64A">
      <w:pPr>
        <w:spacing w:line="360" w:lineRule="auto"/>
        <w:ind w:left="720" w:hanging="720" w:hangingChars="300"/>
        <w:rPr>
          <w:color w:val="000000"/>
          <w:kern w:val="0"/>
          <w:sz w:val="24"/>
        </w:rPr>
      </w:pPr>
    </w:p>
    <w:p w14:paraId="2B3ED438">
      <w:pPr>
        <w:spacing w:line="360" w:lineRule="auto"/>
        <w:ind w:left="720" w:hanging="720" w:hangingChars="300"/>
        <w:rPr>
          <w:color w:val="000000"/>
          <w:kern w:val="0"/>
          <w:sz w:val="24"/>
        </w:rPr>
      </w:pPr>
    </w:p>
    <w:p w14:paraId="5F3614BB">
      <w:pPr>
        <w:spacing w:line="360" w:lineRule="auto"/>
        <w:ind w:left="720" w:hanging="720" w:hangingChars="300"/>
        <w:rPr>
          <w:color w:val="000000"/>
          <w:kern w:val="0"/>
          <w:sz w:val="24"/>
        </w:rPr>
      </w:pPr>
    </w:p>
    <w:p w14:paraId="3F86B269">
      <w:pPr>
        <w:spacing w:line="360" w:lineRule="auto"/>
        <w:ind w:left="720" w:hanging="720" w:hangingChars="300"/>
        <w:rPr>
          <w:color w:val="000000"/>
          <w:kern w:val="0"/>
          <w:sz w:val="24"/>
        </w:rPr>
      </w:pPr>
    </w:p>
    <w:p w14:paraId="1304E837">
      <w:pPr>
        <w:spacing w:line="360" w:lineRule="auto"/>
        <w:ind w:left="720" w:hanging="720" w:hangingChars="300"/>
        <w:rPr>
          <w:color w:val="000000"/>
          <w:kern w:val="0"/>
          <w:sz w:val="24"/>
        </w:rPr>
      </w:pPr>
    </w:p>
    <w:p w14:paraId="57C128C9">
      <w:pPr>
        <w:spacing w:line="360" w:lineRule="auto"/>
        <w:ind w:left="720" w:hanging="720" w:hangingChars="300"/>
        <w:rPr>
          <w:color w:val="000000"/>
          <w:kern w:val="0"/>
          <w:sz w:val="24"/>
        </w:rPr>
      </w:pPr>
    </w:p>
    <w:p w14:paraId="314398C0">
      <w:pPr>
        <w:spacing w:line="360" w:lineRule="auto"/>
        <w:ind w:left="720" w:hanging="720" w:hangingChars="300"/>
        <w:rPr>
          <w:color w:val="000000"/>
          <w:kern w:val="0"/>
          <w:sz w:val="24"/>
        </w:rPr>
      </w:pPr>
    </w:p>
    <w:p w14:paraId="2D1DAFD8">
      <w:pPr>
        <w:spacing w:line="360" w:lineRule="auto"/>
        <w:ind w:left="720" w:hanging="720" w:hangingChars="300"/>
        <w:rPr>
          <w:color w:val="000000"/>
          <w:kern w:val="0"/>
          <w:sz w:val="24"/>
        </w:rPr>
      </w:pPr>
    </w:p>
    <w:p w14:paraId="7F5C0939">
      <w:pPr>
        <w:spacing w:line="360" w:lineRule="auto"/>
        <w:ind w:left="720" w:hanging="720" w:hangingChars="300"/>
        <w:rPr>
          <w:color w:val="000000"/>
          <w:kern w:val="0"/>
          <w:sz w:val="24"/>
        </w:rPr>
      </w:pPr>
    </w:p>
    <w:p w14:paraId="79855AAE">
      <w:pPr>
        <w:pStyle w:val="2"/>
        <w:adjustRightInd w:val="0"/>
        <w:spacing w:before="0" w:after="0" w:line="360" w:lineRule="auto"/>
        <w:jc w:val="center"/>
        <w:rPr>
          <w:color w:val="000000"/>
          <w:sz w:val="36"/>
          <w:szCs w:val="36"/>
        </w:rPr>
      </w:pPr>
      <w:bookmarkStart w:id="20" w:name="_Toc20477"/>
      <w:bookmarkStart w:id="21" w:name="_Toc11025"/>
      <w:bookmarkStart w:id="22" w:name="_Toc18034"/>
      <w:r>
        <w:rPr>
          <w:color w:val="000000"/>
          <w:sz w:val="36"/>
          <w:szCs w:val="36"/>
        </w:rPr>
        <w:t>第三章  评审</w:t>
      </w:r>
      <w:bookmarkEnd w:id="17"/>
      <w:bookmarkEnd w:id="18"/>
      <w:bookmarkEnd w:id="19"/>
      <w:r>
        <w:rPr>
          <w:color w:val="000000"/>
          <w:sz w:val="36"/>
          <w:szCs w:val="36"/>
        </w:rPr>
        <w:t>办法</w:t>
      </w:r>
      <w:bookmarkEnd w:id="20"/>
      <w:bookmarkEnd w:id="21"/>
      <w:bookmarkEnd w:id="22"/>
    </w:p>
    <w:p w14:paraId="39660E0B">
      <w:pPr>
        <w:pStyle w:val="13"/>
        <w:widowControl/>
        <w:adjustRightInd w:val="0"/>
        <w:snapToGrid w:val="0"/>
        <w:spacing w:after="0" w:afterLines="0" w:line="578" w:lineRule="exact"/>
        <w:ind w:firstLine="0" w:firstLineChars="0"/>
        <w:jc w:val="center"/>
        <w:rPr>
          <w:rFonts w:ascii="Times New Roman" w:hAnsi="Times New Roman"/>
        </w:rPr>
      </w:pPr>
      <w:r>
        <w:rPr>
          <w:rFonts w:ascii="Times New Roman" w:hAnsi="Times New Roman"/>
          <w:color w:val="000000"/>
        </w:rPr>
        <w:br w:type="page"/>
      </w:r>
      <w:r>
        <w:rPr>
          <w:rFonts w:ascii="Times New Roman" w:hAnsi="Times New Roman"/>
        </w:rPr>
        <w:t>评审办法</w:t>
      </w:r>
    </w:p>
    <w:p w14:paraId="6BD3B8EF">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4"/>
        <w:widowControl/>
        <w:spacing w:line="578" w:lineRule="exact"/>
        <w:rPr>
          <w:rFonts w:eastAsia="宋体" w:cs="Times New Roman"/>
          <w:sz w:val="21"/>
          <w:szCs w:val="21"/>
        </w:rPr>
      </w:pPr>
      <w:r>
        <w:rPr>
          <w:rFonts w:eastAsia="宋体" w:cs="Times New Roman"/>
          <w:sz w:val="21"/>
          <w:szCs w:val="21"/>
        </w:rPr>
        <w:t>1.评审依据</w:t>
      </w:r>
    </w:p>
    <w:p w14:paraId="3ED7E4A3">
      <w:pPr>
        <w:pStyle w:val="15"/>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5"/>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5"/>
        <w:widowControl/>
        <w:snapToGrid w:val="0"/>
        <w:spacing w:line="578" w:lineRule="exact"/>
        <w:ind w:firstLine="0"/>
        <w:rPr>
          <w:rFonts w:ascii="Times New Roman" w:eastAsia="宋体"/>
          <w:sz w:val="21"/>
          <w:szCs w:val="21"/>
        </w:rPr>
      </w:pPr>
      <w:r>
        <w:rPr>
          <w:rFonts w:ascii="Times New Roman" w:eastAsia="宋体"/>
          <w:sz w:val="21"/>
          <w:szCs w:val="21"/>
        </w:rPr>
        <w:t>1.3采购文件及其有效的补充文件。</w:t>
      </w:r>
    </w:p>
    <w:p w14:paraId="6014BEB9">
      <w:pPr>
        <w:pStyle w:val="14"/>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5"/>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5"/>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4"/>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4"/>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本项目采用经评审的最低投标价法。</w:t>
      </w:r>
    </w:p>
    <w:p w14:paraId="57101DCA">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5"/>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5"/>
        <w:widowControl/>
        <w:snapToGrid w:val="0"/>
        <w:spacing w:line="578" w:lineRule="exact"/>
        <w:ind w:firstLine="0"/>
        <w:rPr>
          <w:rFonts w:ascii="Times New Roman" w:eastAsia="宋体"/>
          <w:sz w:val="21"/>
          <w:szCs w:val="21"/>
        </w:rPr>
      </w:pPr>
      <w:r>
        <w:rPr>
          <w:rFonts w:ascii="Times New Roman" w:eastAsia="宋体"/>
          <w:sz w:val="21"/>
          <w:szCs w:val="21"/>
        </w:rPr>
        <w:t xml:space="preserve">（1）响应人资格条件不满足采购文件要求（以询价公告规定的响应人资格条件为准）； </w:t>
      </w:r>
    </w:p>
    <w:p w14:paraId="2A6C7A9E">
      <w:pPr>
        <w:pStyle w:val="15"/>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同一响应人提交两个以上不同的响应文件或者响应报价，但采购文件要求提交备选报价的除外；</w:t>
      </w:r>
    </w:p>
    <w:p w14:paraId="74E08492">
      <w:pPr>
        <w:pStyle w:val="15"/>
        <w:widowControl/>
        <w:snapToGrid w:val="0"/>
        <w:spacing w:line="578" w:lineRule="exact"/>
        <w:ind w:firstLine="0"/>
        <w:rPr>
          <w:rFonts w:ascii="Times New Roman" w:eastAsia="宋体"/>
          <w:sz w:val="21"/>
          <w:szCs w:val="21"/>
        </w:rPr>
      </w:pPr>
      <w:r>
        <w:rPr>
          <w:rFonts w:ascii="Times New Roman" w:eastAsia="宋体"/>
          <w:sz w:val="21"/>
          <w:szCs w:val="21"/>
        </w:rPr>
        <w:t>（4）响应文件附有采购人不能接受的条件；</w:t>
      </w:r>
    </w:p>
    <w:p w14:paraId="3792FD5B">
      <w:pPr>
        <w:pStyle w:val="15"/>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5"/>
        <w:widowControl/>
        <w:snapToGrid w:val="0"/>
        <w:spacing w:line="578" w:lineRule="exact"/>
        <w:ind w:firstLine="0"/>
        <w:rPr>
          <w:rFonts w:ascii="Times New Roman" w:eastAsia="宋体"/>
          <w:sz w:val="21"/>
          <w:szCs w:val="21"/>
        </w:rPr>
      </w:pPr>
      <w:r>
        <w:rPr>
          <w:rFonts w:ascii="Times New Roman" w:eastAsia="宋体"/>
          <w:sz w:val="21"/>
          <w:szCs w:val="21"/>
        </w:rPr>
        <w:t>（6）响应人报价超出最高限价；</w:t>
      </w:r>
    </w:p>
    <w:p w14:paraId="6776F3F3">
      <w:pPr>
        <w:pStyle w:val="15"/>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4"/>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53B01837">
      <w:pPr>
        <w:pStyle w:val="14"/>
        <w:widowControl/>
        <w:spacing w:line="578" w:lineRule="exact"/>
        <w:ind w:firstLine="420" w:firstLineChars="200"/>
        <w:rPr>
          <w:rFonts w:eastAsia="宋体" w:cs="Times New Roman"/>
          <w:sz w:val="21"/>
          <w:szCs w:val="21"/>
        </w:rPr>
      </w:pPr>
      <w:r>
        <w:rPr>
          <w:rFonts w:eastAsia="宋体" w:cs="Times New Roman"/>
          <w:sz w:val="21"/>
          <w:szCs w:val="21"/>
        </w:rPr>
        <w:t>采购人不承诺最低价成交，对未成交的原因，采购人不予解释。</w:t>
      </w:r>
    </w:p>
    <w:p w14:paraId="30792ECE">
      <w:pPr>
        <w:pStyle w:val="14"/>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2.1商务评审，是否实质上响应了采购文件的要求，主要包括资格条件、交货时间、付款条件等。</w:t>
      </w:r>
    </w:p>
    <w:p w14:paraId="0037D7A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2.2技术评审，是否实质上响应了采购文件的要求；主要包括主要技术参数是否符合要求。</w:t>
      </w:r>
    </w:p>
    <w:p w14:paraId="68B993E6">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如详细评审阶段，商务和技术评审中有一项实质上不响应采购文件的要求，将视为否决响应人的响应文件，该响应人不再进入后续评审。</w:t>
      </w:r>
    </w:p>
    <w:p w14:paraId="35583BD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3"/>
        <w:widowControl/>
        <w:adjustRightInd w:val="0"/>
        <w:snapToGrid w:val="0"/>
        <w:spacing w:after="0" w:afterLines="0" w:line="578" w:lineRule="exact"/>
        <w:ind w:firstLine="0" w:firstLineChars="0"/>
        <w:rPr>
          <w:rFonts w:ascii="Times New Roman" w:hAnsi="Times New Roman"/>
          <w:sz w:val="21"/>
        </w:rPr>
      </w:pPr>
      <w:bookmarkStart w:id="23" w:name="_Toc354434420"/>
      <w:bookmarkStart w:id="24" w:name="_Toc354434594"/>
      <w:bookmarkStart w:id="25" w:name="_Toc412810874"/>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对经评审的响应报价按从低到高的顺序依次进行排序。若经评审的响应报价相同，</w:t>
      </w:r>
      <w:r>
        <w:rPr>
          <w:rFonts w:hint="eastAsia"/>
          <w:szCs w:val="21"/>
          <w:lang w:bidi="ar"/>
        </w:rPr>
        <w:t>由采购人自行决定</w:t>
      </w:r>
      <w:r>
        <w:rPr>
          <w:szCs w:val="21"/>
          <w:lang w:bidi="ar"/>
        </w:rPr>
        <w:t xml:space="preserve">。 </w:t>
      </w:r>
    </w:p>
    <w:p w14:paraId="7CE3A200">
      <w:pPr>
        <w:pStyle w:val="13"/>
        <w:adjustRightInd w:val="0"/>
        <w:snapToGrid w:val="0"/>
        <w:spacing w:after="0" w:afterLines="0"/>
        <w:ind w:firstLine="0" w:firstLineChars="0"/>
        <w:rPr>
          <w:rFonts w:ascii="Times New Roman" w:hAnsi="Times New Roman"/>
          <w:b w:val="0"/>
          <w:color w:val="000000"/>
          <w:highlight w:val="yellow"/>
        </w:rPr>
      </w:pPr>
    </w:p>
    <w:p w14:paraId="6D3F5435">
      <w:pPr>
        <w:pStyle w:val="13"/>
        <w:adjustRightInd w:val="0"/>
        <w:snapToGrid w:val="0"/>
        <w:spacing w:after="0" w:afterLines="0"/>
        <w:ind w:firstLine="0" w:firstLineChars="0"/>
        <w:rPr>
          <w:rFonts w:ascii="Times New Roman" w:hAnsi="Times New Roman"/>
          <w:b w:val="0"/>
          <w:color w:val="000000"/>
          <w:highlight w:val="yellow"/>
        </w:rPr>
      </w:pPr>
    </w:p>
    <w:p w14:paraId="352997BB">
      <w:pPr>
        <w:pStyle w:val="13"/>
        <w:adjustRightInd w:val="0"/>
        <w:snapToGrid w:val="0"/>
        <w:spacing w:after="0" w:afterLines="0"/>
        <w:ind w:firstLine="0" w:firstLineChars="0"/>
        <w:rPr>
          <w:rFonts w:ascii="Times New Roman" w:hAnsi="Times New Roman"/>
          <w:b w:val="0"/>
          <w:color w:val="000000"/>
          <w:highlight w:val="yellow"/>
        </w:rPr>
      </w:pPr>
    </w:p>
    <w:p w14:paraId="2EBE922A">
      <w:pPr>
        <w:pStyle w:val="13"/>
        <w:adjustRightInd w:val="0"/>
        <w:snapToGrid w:val="0"/>
        <w:spacing w:after="0" w:afterLines="0"/>
        <w:ind w:firstLine="0" w:firstLineChars="0"/>
        <w:rPr>
          <w:rFonts w:ascii="Times New Roman" w:hAnsi="Times New Roman"/>
          <w:b w:val="0"/>
          <w:color w:val="000000"/>
        </w:rPr>
      </w:pPr>
    </w:p>
    <w:p w14:paraId="39D165D9">
      <w:pPr>
        <w:pStyle w:val="13"/>
        <w:adjustRightInd w:val="0"/>
        <w:snapToGrid w:val="0"/>
        <w:spacing w:after="0" w:afterLines="0"/>
        <w:ind w:firstLine="0" w:firstLineChars="0"/>
        <w:rPr>
          <w:rFonts w:ascii="Times New Roman" w:hAnsi="Times New Roman"/>
          <w:b w:val="0"/>
          <w:color w:val="000000"/>
        </w:rPr>
      </w:pPr>
    </w:p>
    <w:p w14:paraId="3E614059">
      <w:pPr>
        <w:pStyle w:val="13"/>
        <w:adjustRightInd w:val="0"/>
        <w:snapToGrid w:val="0"/>
        <w:spacing w:after="0" w:afterLines="0"/>
        <w:ind w:firstLine="0" w:firstLineChars="0"/>
        <w:rPr>
          <w:rFonts w:ascii="Times New Roman" w:hAnsi="Times New Roman"/>
          <w:color w:val="000000"/>
        </w:rPr>
      </w:pPr>
    </w:p>
    <w:p w14:paraId="59CDA1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pPr>
      <w:bookmarkStart w:id="26" w:name="_Toc23895"/>
      <w:bookmarkStart w:id="27" w:name="_Toc47416185"/>
      <w:bookmarkStart w:id="28" w:name="_Toc49019224"/>
      <w:bookmarkStart w:id="29" w:name="_Toc47415931"/>
      <w:r>
        <w:rPr>
          <w:color w:val="000000"/>
          <w:sz w:val="36"/>
          <w:szCs w:val="36"/>
        </w:rPr>
        <w:br w:type="page"/>
      </w:r>
      <w:bookmarkEnd w:id="26"/>
    </w:p>
    <w:p w14:paraId="1E58FF3F"/>
    <w:p w14:paraId="6E15131C">
      <w:pPr>
        <w:pStyle w:val="2"/>
        <w:numPr>
          <w:ilvl w:val="0"/>
          <w:numId w:val="2"/>
        </w:numPr>
        <w:adjustRightInd w:val="0"/>
        <w:spacing w:before="0" w:after="0" w:line="360" w:lineRule="auto"/>
        <w:jc w:val="center"/>
        <w:rPr>
          <w:color w:val="000000"/>
          <w:sz w:val="36"/>
          <w:szCs w:val="36"/>
        </w:rPr>
      </w:pPr>
      <w:bookmarkStart w:id="30" w:name="_Toc11301"/>
      <w:bookmarkStart w:id="31" w:name="_Toc19899"/>
      <w:bookmarkStart w:id="32" w:name="_Toc26937"/>
      <w:bookmarkStart w:id="33" w:name="_Toc27823"/>
      <w:bookmarkStart w:id="34" w:name="_Toc29597"/>
      <w:r>
        <w:rPr>
          <w:color w:val="000000"/>
          <w:sz w:val="36"/>
          <w:szCs w:val="36"/>
        </w:rPr>
        <w:t xml:space="preserve"> 合同协议条款</w:t>
      </w:r>
    </w:p>
    <w:bookmarkEnd w:id="30"/>
    <w:bookmarkEnd w:id="31"/>
    <w:p w14:paraId="24E16830">
      <w:pPr>
        <w:pStyle w:val="8"/>
        <w:pBdr>
          <w:top w:val="none" w:color="auto" w:sz="0" w:space="0"/>
          <w:left w:val="none" w:color="auto" w:sz="0" w:space="0"/>
          <w:bottom w:val="none" w:color="auto" w:sz="0" w:space="1"/>
          <w:right w:val="none" w:color="auto" w:sz="0" w:space="0"/>
          <w:between w:val="none" w:color="auto" w:sz="0" w:space="0"/>
        </w:pBdr>
        <w:jc w:val="center"/>
        <w:rPr>
          <w:rFonts w:hint="default"/>
          <w:u w:val="single"/>
          <w:lang w:val="en-US" w:eastAsia="zh-CN"/>
        </w:rPr>
      </w:pPr>
      <w:r>
        <w:rPr>
          <w:rFonts w:hint="eastAsia"/>
          <w:lang w:val="en-US" w:eastAsia="zh-CN"/>
        </w:rPr>
        <w:t xml:space="preserve">                              </w:t>
      </w:r>
      <w:r>
        <w:rPr>
          <w:rFonts w:hint="eastAsia"/>
          <w:sz w:val="24"/>
          <w:szCs w:val="24"/>
          <w:lang w:val="en-US" w:eastAsia="zh-CN"/>
        </w:rPr>
        <w:t>合同编号：</w:t>
      </w:r>
      <w:r>
        <w:rPr>
          <w:rFonts w:hint="eastAsia"/>
          <w:sz w:val="24"/>
          <w:szCs w:val="24"/>
          <w:u w:val="single"/>
          <w:lang w:val="en-US" w:eastAsia="zh-CN"/>
        </w:rPr>
        <w:t xml:space="preserve">           </w:t>
      </w:r>
    </w:p>
    <w:bookmarkEnd w:id="27"/>
    <w:bookmarkEnd w:id="28"/>
    <w:bookmarkEnd w:id="29"/>
    <w:bookmarkEnd w:id="32"/>
    <w:bookmarkEnd w:id="33"/>
    <w:bookmarkEnd w:id="34"/>
    <w:p w14:paraId="3DA8DD92">
      <w:pPr>
        <w:jc w:val="center"/>
        <w:rPr>
          <w:rFonts w:hint="eastAsia"/>
          <w:sz w:val="28"/>
          <w:szCs w:val="28"/>
        </w:rPr>
      </w:pPr>
      <w:bookmarkStart w:id="35" w:name="_Toc27982"/>
      <w:bookmarkStart w:id="36" w:name="_Toc31560"/>
      <w:bookmarkStart w:id="37" w:name="_Toc22436"/>
      <w:r>
        <w:rPr>
          <w:rFonts w:hint="eastAsia"/>
          <w:sz w:val="28"/>
          <w:szCs w:val="28"/>
          <w:lang w:val="en-US" w:eastAsia="zh-CN"/>
        </w:rPr>
        <w:t>跨市</w:t>
      </w:r>
      <w:r>
        <w:rPr>
          <w:rFonts w:hint="eastAsia"/>
          <w:sz w:val="28"/>
          <w:szCs w:val="28"/>
        </w:rPr>
        <w:t>专线业务服务合同</w:t>
      </w:r>
    </w:p>
    <w:p w14:paraId="6D2C1F6B">
      <w:pPr>
        <w:pStyle w:val="10"/>
        <w:rPr>
          <w:rFonts w:hint="eastAsia" w:ascii="宋体" w:hAnsi="宋体" w:eastAsia="宋体" w:cs="宋体"/>
          <w:b/>
          <w:bCs/>
          <w:sz w:val="21"/>
          <w:szCs w:val="21"/>
          <w:lang w:eastAsia="zh-CN"/>
        </w:rPr>
      </w:pPr>
      <w:r>
        <w:rPr>
          <w:rFonts w:hint="eastAsia"/>
          <w:b/>
          <w:bCs/>
          <w:szCs w:val="21"/>
        </w:rPr>
        <w:t xml:space="preserve">                                                                                                                                      </w:t>
      </w:r>
      <w:r>
        <w:rPr>
          <w:rFonts w:hint="eastAsia" w:ascii="宋体" w:hAnsi="宋体" w:eastAsia="宋体" w:cs="宋体"/>
          <w:b/>
          <w:bCs/>
          <w:sz w:val="21"/>
          <w:szCs w:val="21"/>
        </w:rPr>
        <w:t>甲方:</w:t>
      </w:r>
      <w:r>
        <w:rPr>
          <w:rFonts w:hint="eastAsia" w:ascii="宋体" w:hAnsi="宋体" w:eastAsia="宋体" w:cs="宋体"/>
          <w:b/>
          <w:bCs/>
          <w:sz w:val="21"/>
          <w:szCs w:val="21"/>
          <w:lang w:val="en-US" w:eastAsia="zh-CN"/>
        </w:rPr>
        <w:t>泰州高港港务</w:t>
      </w:r>
      <w:r>
        <w:rPr>
          <w:rFonts w:hint="eastAsia" w:ascii="宋体" w:hAnsi="宋体" w:eastAsia="宋体" w:cs="宋体"/>
          <w:b/>
          <w:bCs/>
          <w:sz w:val="21"/>
          <w:szCs w:val="21"/>
          <w:lang w:eastAsia="zh-CN"/>
        </w:rPr>
        <w:t>有限公司</w:t>
      </w:r>
    </w:p>
    <w:p w14:paraId="5E079B22">
      <w:pPr>
        <w:pStyle w:val="10"/>
        <w:rPr>
          <w:rFonts w:hint="eastAsia" w:ascii="宋体" w:hAnsi="宋体" w:eastAsia="宋体" w:cs="宋体"/>
          <w:b/>
          <w:bCs/>
          <w:sz w:val="21"/>
          <w:szCs w:val="21"/>
        </w:rPr>
      </w:pPr>
      <w:r>
        <w:rPr>
          <w:rFonts w:hint="eastAsia" w:ascii="宋体" w:hAnsi="宋体" w:eastAsia="宋体" w:cs="宋体"/>
          <w:b/>
          <w:bCs/>
          <w:sz w:val="21"/>
          <w:szCs w:val="21"/>
        </w:rPr>
        <w:t>负责人：</w:t>
      </w:r>
      <w:r>
        <w:rPr>
          <w:rFonts w:hint="eastAsia" w:ascii="宋体" w:hAnsi="宋体" w:eastAsia="宋体" w:cs="宋体"/>
          <w:b/>
          <w:bCs/>
          <w:sz w:val="21"/>
          <w:szCs w:val="21"/>
          <w:lang w:val="en-US" w:eastAsia="zh-CN"/>
        </w:rPr>
        <w:t>刘正奕</w:t>
      </w:r>
      <w:r>
        <w:rPr>
          <w:rFonts w:hint="eastAsia" w:ascii="宋体" w:hAnsi="宋体" w:eastAsia="宋体" w:cs="宋体"/>
          <w:b/>
          <w:bCs/>
          <w:sz w:val="21"/>
          <w:szCs w:val="21"/>
        </w:rPr>
        <w:br w:type="textWrapping"/>
      </w:r>
      <w:r>
        <w:rPr>
          <w:rFonts w:hint="eastAsia" w:ascii="宋体" w:hAnsi="宋体" w:eastAsia="宋体" w:cs="宋体"/>
          <w:b/>
          <w:bCs/>
          <w:sz w:val="21"/>
          <w:szCs w:val="21"/>
        </w:rPr>
        <w:t>地址：</w:t>
      </w:r>
      <w:r>
        <w:rPr>
          <w:rFonts w:hint="eastAsia" w:ascii="宋体" w:hAnsi="宋体" w:eastAsia="宋体" w:cs="宋体"/>
          <w:b/>
          <w:bCs/>
          <w:sz w:val="21"/>
          <w:szCs w:val="21"/>
          <w:lang w:eastAsia="zh-CN"/>
        </w:rPr>
        <w:t>江苏省</w:t>
      </w:r>
      <w:r>
        <w:rPr>
          <w:rFonts w:hint="eastAsia" w:ascii="宋体" w:hAnsi="宋体" w:eastAsia="宋体" w:cs="宋体"/>
          <w:b/>
          <w:bCs/>
          <w:sz w:val="21"/>
          <w:szCs w:val="21"/>
          <w:lang w:val="en-US" w:eastAsia="zh-CN"/>
        </w:rPr>
        <w:t>泰州市高港区长江路18号</w:t>
      </w:r>
      <w:r>
        <w:rPr>
          <w:rFonts w:hint="eastAsia" w:ascii="宋体" w:hAnsi="宋体" w:eastAsia="宋体" w:cs="宋体"/>
          <w:b/>
          <w:bCs/>
          <w:sz w:val="21"/>
          <w:szCs w:val="21"/>
        </w:rPr>
        <w:t xml:space="preserve"> </w:t>
      </w:r>
      <w:r>
        <w:rPr>
          <w:rFonts w:hint="eastAsia" w:ascii="宋体" w:hAnsi="宋体" w:eastAsia="宋体" w:cs="宋体"/>
          <w:b/>
          <w:bCs/>
          <w:sz w:val="21"/>
          <w:szCs w:val="21"/>
        </w:rPr>
        <w:br w:type="textWrapping"/>
      </w:r>
      <w:r>
        <w:rPr>
          <w:rFonts w:hint="eastAsia" w:ascii="宋体" w:hAnsi="宋体" w:eastAsia="宋体" w:cs="宋体"/>
          <w:b/>
          <w:bCs/>
          <w:sz w:val="21"/>
          <w:szCs w:val="21"/>
        </w:rPr>
        <w:t>联系人：</w:t>
      </w:r>
      <w:r>
        <w:rPr>
          <w:rFonts w:hint="eastAsia" w:ascii="宋体" w:hAnsi="宋体" w:eastAsia="宋体" w:cs="宋体"/>
          <w:b/>
          <w:bCs/>
          <w:sz w:val="21"/>
          <w:szCs w:val="21"/>
        </w:rPr>
        <w:br w:type="textWrapping"/>
      </w:r>
      <w:r>
        <w:rPr>
          <w:rFonts w:hint="eastAsia" w:ascii="宋体" w:hAnsi="宋体" w:eastAsia="宋体" w:cs="宋体"/>
          <w:b/>
          <w:bCs/>
          <w:sz w:val="21"/>
          <w:szCs w:val="21"/>
        </w:rPr>
        <w:t>联系电话：</w:t>
      </w:r>
      <w:r>
        <w:rPr>
          <w:rFonts w:hint="eastAsia" w:ascii="宋体" w:hAnsi="宋体" w:eastAsia="宋体" w:cs="宋体"/>
          <w:b/>
          <w:bCs/>
          <w:sz w:val="21"/>
          <w:szCs w:val="21"/>
        </w:rPr>
        <w:br w:type="textWrapping"/>
      </w:r>
    </w:p>
    <w:p w14:paraId="1FAECE04">
      <w:pPr>
        <w:pStyle w:val="10"/>
        <w:rPr>
          <w:rFonts w:hint="eastAsia" w:ascii="宋体" w:hAnsi="宋体" w:eastAsia="宋体" w:cs="宋体"/>
          <w:b/>
          <w:bCs/>
          <w:sz w:val="21"/>
          <w:szCs w:val="21"/>
        </w:rPr>
      </w:pPr>
      <w:r>
        <w:rPr>
          <w:rFonts w:hint="eastAsia" w:ascii="宋体" w:hAnsi="宋体" w:eastAsia="宋体" w:cs="宋体"/>
          <w:b/>
          <w:bCs/>
          <w:sz w:val="21"/>
          <w:szCs w:val="21"/>
        </w:rPr>
        <w:t xml:space="preserve">乙方: </w:t>
      </w:r>
    </w:p>
    <w:p w14:paraId="413563C0">
      <w:pPr>
        <w:pStyle w:val="10"/>
        <w:rPr>
          <w:rFonts w:hint="eastAsia" w:ascii="宋体" w:hAnsi="宋体" w:eastAsia="宋体" w:cs="宋体"/>
          <w:sz w:val="21"/>
          <w:szCs w:val="21"/>
        </w:rPr>
      </w:pPr>
      <w:r>
        <w:rPr>
          <w:rFonts w:hint="eastAsia" w:ascii="宋体" w:hAnsi="宋体" w:eastAsia="宋体" w:cs="宋体"/>
          <w:b/>
          <w:bCs/>
          <w:sz w:val="21"/>
          <w:szCs w:val="21"/>
          <w:lang w:eastAsia="zh-CN"/>
        </w:rPr>
        <w:br w:type="textWrapping"/>
      </w:r>
      <w:r>
        <w:rPr>
          <w:rFonts w:hint="eastAsia" w:ascii="宋体" w:hAnsi="宋体" w:eastAsia="宋体" w:cs="宋体"/>
          <w:b/>
          <w:bCs/>
          <w:sz w:val="21"/>
          <w:szCs w:val="21"/>
        </w:rPr>
        <w:t xml:space="preserve">负责人： </w:t>
      </w:r>
      <w:r>
        <w:rPr>
          <w:rFonts w:hint="eastAsia" w:ascii="宋体" w:hAnsi="宋体" w:eastAsia="宋体" w:cs="宋体"/>
          <w:b/>
          <w:bCs/>
          <w:sz w:val="21"/>
          <w:szCs w:val="21"/>
        </w:rPr>
        <w:br w:type="textWrapping"/>
      </w:r>
      <w:r>
        <w:rPr>
          <w:rFonts w:hint="eastAsia" w:ascii="宋体" w:hAnsi="宋体" w:eastAsia="宋体" w:cs="宋体"/>
          <w:b/>
          <w:bCs/>
          <w:sz w:val="21"/>
          <w:szCs w:val="21"/>
        </w:rPr>
        <w:t xml:space="preserve">地址： </w:t>
      </w:r>
      <w:r>
        <w:rPr>
          <w:rFonts w:hint="eastAsia" w:ascii="宋体" w:hAnsi="宋体" w:eastAsia="宋体" w:cs="宋体"/>
          <w:b/>
          <w:bCs/>
          <w:sz w:val="21"/>
          <w:szCs w:val="21"/>
        </w:rPr>
        <w:br w:type="textWrapping"/>
      </w:r>
      <w:r>
        <w:rPr>
          <w:rFonts w:hint="eastAsia" w:ascii="宋体" w:hAnsi="宋体" w:eastAsia="宋体" w:cs="宋体"/>
          <w:b/>
          <w:bCs/>
          <w:sz w:val="21"/>
          <w:szCs w:val="21"/>
        </w:rPr>
        <w:t xml:space="preserve">联系人： </w:t>
      </w:r>
      <w:r>
        <w:rPr>
          <w:rFonts w:hint="eastAsia" w:ascii="宋体" w:hAnsi="宋体" w:eastAsia="宋体" w:cs="宋体"/>
          <w:b/>
          <w:bCs/>
          <w:sz w:val="21"/>
          <w:szCs w:val="21"/>
        </w:rPr>
        <w:br w:type="textWrapping"/>
      </w:r>
      <w:r>
        <w:rPr>
          <w:rFonts w:hint="eastAsia" w:ascii="宋体" w:hAnsi="宋体" w:eastAsia="宋体" w:cs="宋体"/>
          <w:b/>
          <w:bCs/>
          <w:sz w:val="21"/>
          <w:szCs w:val="21"/>
        </w:rPr>
        <w:t>联系电话：</w:t>
      </w:r>
      <w:r>
        <w:rPr>
          <w:rFonts w:hint="eastAsia" w:ascii="宋体" w:hAnsi="宋体" w:eastAsia="宋体" w:cs="宋体"/>
          <w:b/>
          <w:bCs/>
          <w:sz w:val="21"/>
          <w:szCs w:val="21"/>
        </w:rPr>
        <w:br w:type="textWrapping"/>
      </w:r>
      <w:r>
        <w:rPr>
          <w:rFonts w:hint="eastAsia" w:ascii="宋体" w:hAnsi="宋体" w:eastAsia="宋体" w:cs="宋体"/>
          <w:b/>
          <w:bCs/>
          <w:sz w:val="21"/>
          <w:szCs w:val="21"/>
        </w:rPr>
        <w:br w:type="textWrapping"/>
      </w:r>
      <w:r>
        <w:rPr>
          <w:rFonts w:hint="eastAsia" w:ascii="宋体" w:hAnsi="宋体" w:eastAsia="宋体" w:cs="宋体"/>
          <w:b/>
          <w:bCs/>
          <w:sz w:val="21"/>
          <w:szCs w:val="21"/>
        </w:rPr>
        <w:t>为进一步提高甲方的信息化水平，满足甲方对通信发展的要求，提供更加高效、畅通、经济的通信服务，经甲乙双方共同协商，按照互惠互利、相互合作、共同发展原则，现双方商定达成如下协议：</w:t>
      </w:r>
    </w:p>
    <w:p w14:paraId="36F0053A">
      <w:pPr>
        <w:pStyle w:val="14"/>
        <w:widowControl/>
        <w:spacing w:line="578" w:lineRule="exact"/>
        <w:rPr>
          <w:rFonts w:hint="eastAsia" w:eastAsia="宋体" w:cs="Times New Roman"/>
          <w:sz w:val="21"/>
          <w:szCs w:val="21"/>
        </w:rPr>
      </w:pPr>
      <w:r>
        <w:rPr>
          <w:rFonts w:hint="eastAsia" w:eastAsia="宋体" w:cs="Times New Roman"/>
          <w:sz w:val="21"/>
          <w:szCs w:val="21"/>
        </w:rPr>
        <w:t>第一条服务合作内容</w:t>
      </w:r>
      <w:r>
        <w:rPr>
          <w:rFonts w:hint="eastAsia" w:eastAsia="宋体" w:cs="Times New Roman"/>
          <w:sz w:val="21"/>
          <w:szCs w:val="21"/>
        </w:rPr>
        <w:br w:type="textWrapping"/>
      </w:r>
      <w:r>
        <w:rPr>
          <w:rFonts w:hint="eastAsia" w:eastAsia="宋体" w:cs="Times New Roman"/>
          <w:sz w:val="21"/>
          <w:szCs w:val="21"/>
        </w:rPr>
        <w:t>乙方向甲方提供</w:t>
      </w:r>
      <w:r>
        <w:rPr>
          <w:rFonts w:hint="eastAsia" w:eastAsia="宋体" w:cs="Times New Roman"/>
          <w:sz w:val="21"/>
          <w:szCs w:val="21"/>
          <w:lang w:eastAsia="zh-CN"/>
        </w:rPr>
        <w:t>运营商</w:t>
      </w:r>
      <w:r>
        <w:rPr>
          <w:rFonts w:hint="eastAsia" w:eastAsia="宋体" w:cs="Times New Roman"/>
          <w:sz w:val="21"/>
          <w:szCs w:val="21"/>
        </w:rPr>
        <w:t>业务如下：</w:t>
      </w:r>
    </w:p>
    <w:p w14:paraId="27F726F1">
      <w:pPr>
        <w:pStyle w:val="14"/>
        <w:widowControl/>
        <w:spacing w:line="578" w:lineRule="exact"/>
        <w:rPr>
          <w:rFonts w:hint="eastAsia" w:eastAsia="宋体" w:cs="Times New Roman"/>
          <w:sz w:val="21"/>
          <w:szCs w:val="21"/>
        </w:rPr>
      </w:pPr>
      <w:r>
        <w:rPr>
          <w:rFonts w:hint="eastAsia" w:eastAsia="宋体" w:cs="Times New Roman"/>
          <w:sz w:val="21"/>
          <w:szCs w:val="21"/>
        </w:rPr>
        <w:t>1.甲方使用乙方专线业务用于（用途）：</w:t>
      </w:r>
      <w:r>
        <w:rPr>
          <w:rFonts w:hint="eastAsia" w:eastAsia="宋体" w:cs="Times New Roman"/>
          <w:sz w:val="21"/>
          <w:szCs w:val="21"/>
          <w:lang w:eastAsia="zh-CN"/>
        </w:rPr>
        <w:t>从</w:t>
      </w:r>
      <w:r>
        <w:rPr>
          <w:rFonts w:hint="eastAsia" w:eastAsia="宋体" w:cs="Times New Roman"/>
          <w:sz w:val="21"/>
          <w:szCs w:val="21"/>
          <w:lang w:val="en-US" w:eastAsia="zh-CN"/>
        </w:rPr>
        <w:t>泰州高港港务有限公司</w:t>
      </w:r>
      <w:r>
        <w:rPr>
          <w:rFonts w:hint="eastAsia" w:eastAsia="宋体" w:cs="Times New Roman"/>
          <w:sz w:val="21"/>
          <w:szCs w:val="21"/>
          <w:lang w:eastAsia="zh-CN"/>
        </w:rPr>
        <w:t>至扬州</w:t>
      </w:r>
      <w:r>
        <w:rPr>
          <w:rFonts w:hint="eastAsia" w:eastAsia="宋体" w:cs="Times New Roman"/>
          <w:sz w:val="21"/>
          <w:szCs w:val="21"/>
          <w:lang w:val="en-US" w:eastAsia="zh-CN"/>
        </w:rPr>
        <w:t>港务集团有限公司</w:t>
      </w:r>
      <w:r>
        <w:rPr>
          <w:rFonts w:hint="eastAsia" w:eastAsia="宋体" w:cs="Times New Roman"/>
          <w:sz w:val="21"/>
          <w:szCs w:val="21"/>
          <w:lang w:eastAsia="zh-CN"/>
        </w:rPr>
        <w:t>监控传输</w:t>
      </w:r>
      <w:r>
        <w:rPr>
          <w:rFonts w:hint="eastAsia" w:eastAsia="宋体" w:cs="Times New Roman"/>
          <w:sz w:val="21"/>
          <w:szCs w:val="21"/>
        </w:rPr>
        <w:t xml:space="preserve"> 。</w:t>
      </w:r>
    </w:p>
    <w:p w14:paraId="155D3807">
      <w:pPr>
        <w:pStyle w:val="14"/>
        <w:widowControl/>
        <w:spacing w:line="578" w:lineRule="exact"/>
        <w:rPr>
          <w:rFonts w:hint="eastAsia" w:eastAsia="宋体" w:cs="Times New Roman"/>
          <w:sz w:val="21"/>
          <w:szCs w:val="21"/>
        </w:rPr>
      </w:pPr>
      <w:r>
        <w:rPr>
          <w:rFonts w:hint="eastAsia" w:eastAsia="宋体" w:cs="Times New Roman"/>
          <w:sz w:val="21"/>
          <w:szCs w:val="21"/>
        </w:rPr>
        <w:t>第二条付费方式和标准</w:t>
      </w:r>
    </w:p>
    <w:p w14:paraId="17BC8595">
      <w:pPr>
        <w:pStyle w:val="14"/>
        <w:widowControl/>
        <w:spacing w:line="578" w:lineRule="exact"/>
        <w:rPr>
          <w:rFonts w:hint="eastAsia" w:eastAsia="宋体" w:cs="Times New Roman"/>
          <w:sz w:val="21"/>
          <w:szCs w:val="21"/>
        </w:rPr>
      </w:pPr>
      <w:r>
        <w:rPr>
          <w:rFonts w:hint="eastAsia" w:eastAsia="宋体" w:cs="Times New Roman"/>
          <w:sz w:val="21"/>
          <w:szCs w:val="21"/>
        </w:rPr>
        <w:t>2.</w:t>
      </w:r>
      <w:r>
        <w:rPr>
          <w:rFonts w:hint="eastAsia" w:eastAsia="宋体" w:cs="Times New Roman"/>
          <w:sz w:val="21"/>
          <w:szCs w:val="21"/>
          <w:lang w:val="en-US" w:eastAsia="zh-CN"/>
        </w:rPr>
        <w:t>1</w:t>
      </w:r>
      <w:r>
        <w:rPr>
          <w:rFonts w:hint="eastAsia" w:eastAsia="宋体" w:cs="Times New Roman"/>
          <w:sz w:val="21"/>
          <w:szCs w:val="21"/>
        </w:rPr>
        <w:t xml:space="preserve"> 甲方业务月使用费的付费方式： 银行转账</w:t>
      </w:r>
    </w:p>
    <w:p w14:paraId="2282EF25">
      <w:pPr>
        <w:pStyle w:val="14"/>
        <w:widowControl/>
        <w:spacing w:line="578" w:lineRule="exact"/>
        <w:rPr>
          <w:rFonts w:hint="eastAsia" w:eastAsia="宋体" w:cs="Times New Roman"/>
          <w:sz w:val="21"/>
          <w:szCs w:val="21"/>
          <w:lang w:val="en-US" w:eastAsia="zh-CN"/>
        </w:rPr>
      </w:pPr>
      <w:r>
        <w:rPr>
          <w:rFonts w:hint="eastAsia" w:eastAsia="宋体" w:cs="Times New Roman"/>
          <w:sz w:val="21"/>
          <w:szCs w:val="21"/>
          <w:lang w:val="en-US" w:eastAsia="zh-CN"/>
        </w:rPr>
        <w:t>2.1.1 300M跨市专线使用费用为：</w:t>
      </w:r>
    </w:p>
    <w:p w14:paraId="70DF8AA3">
      <w:pPr>
        <w:pStyle w:val="14"/>
        <w:widowControl/>
        <w:spacing w:line="578" w:lineRule="exact"/>
        <w:rPr>
          <w:rFonts w:hint="eastAsia" w:eastAsia="宋体" w:cs="Times New Roman"/>
          <w:sz w:val="21"/>
          <w:szCs w:val="21"/>
        </w:rPr>
      </w:pPr>
      <w:r>
        <w:rPr>
          <w:rFonts w:hint="eastAsia" w:eastAsia="宋体" w:cs="Times New Roman"/>
          <w:sz w:val="21"/>
          <w:szCs w:val="21"/>
        </w:rPr>
        <w:t>2.3 费用标准和费用缴纳</w:t>
      </w:r>
      <w:r>
        <w:rPr>
          <w:rFonts w:hint="eastAsia" w:eastAsia="宋体" w:cs="Times New Roman"/>
          <w:sz w:val="21"/>
          <w:szCs w:val="21"/>
        </w:rPr>
        <w:br w:type="textWrapping"/>
      </w:r>
      <w:r>
        <w:rPr>
          <w:rFonts w:hint="eastAsia" w:eastAsia="宋体" w:cs="Times New Roman"/>
          <w:sz w:val="21"/>
          <w:szCs w:val="21"/>
        </w:rPr>
        <w:t>2.3.1 乙方业务计费周期为自然月计费（特殊约定除外），乙方按依法确定或合同约定的资费标准和执行时间向甲方收取</w:t>
      </w:r>
      <w:r>
        <w:rPr>
          <w:rFonts w:hint="eastAsia" w:eastAsia="宋体" w:cs="Times New Roman"/>
          <w:sz w:val="21"/>
          <w:szCs w:val="21"/>
          <w:lang w:eastAsia="zh-CN"/>
        </w:rPr>
        <w:t>运营商</w:t>
      </w:r>
      <w:r>
        <w:rPr>
          <w:rFonts w:hint="eastAsia" w:eastAsia="宋体" w:cs="Times New Roman"/>
          <w:sz w:val="21"/>
          <w:szCs w:val="21"/>
        </w:rPr>
        <w:t>费用，甲方应及时、足额支付各项费用。</w:t>
      </w:r>
      <w:r>
        <w:rPr>
          <w:rFonts w:hint="eastAsia" w:eastAsia="宋体" w:cs="Times New Roman"/>
          <w:sz w:val="21"/>
          <w:szCs w:val="21"/>
        </w:rPr>
        <w:br w:type="textWrapping"/>
      </w:r>
      <w:r>
        <w:rPr>
          <w:rFonts w:hint="eastAsia" w:eastAsia="宋体" w:cs="Times New Roman"/>
          <w:sz w:val="21"/>
          <w:szCs w:val="21"/>
        </w:rPr>
        <w:t>2.3.2 甲方对选择的</w:t>
      </w:r>
      <w:r>
        <w:rPr>
          <w:rFonts w:hint="eastAsia" w:eastAsia="宋体" w:cs="Times New Roman"/>
          <w:sz w:val="21"/>
          <w:szCs w:val="21"/>
          <w:lang w:eastAsia="zh-CN"/>
        </w:rPr>
        <w:t>运营商</w:t>
      </w:r>
      <w:r>
        <w:rPr>
          <w:rFonts w:hint="eastAsia" w:eastAsia="宋体" w:cs="Times New Roman"/>
          <w:sz w:val="21"/>
          <w:szCs w:val="21"/>
        </w:rPr>
        <w:t>业务，按预付费或后付费方式支付</w:t>
      </w:r>
      <w:r>
        <w:rPr>
          <w:rFonts w:hint="eastAsia" w:eastAsia="宋体" w:cs="Times New Roman"/>
          <w:sz w:val="21"/>
          <w:szCs w:val="21"/>
          <w:lang w:eastAsia="zh-CN"/>
        </w:rPr>
        <w:t>运营商</w:t>
      </w:r>
      <w:r>
        <w:rPr>
          <w:rFonts w:hint="eastAsia" w:eastAsia="宋体" w:cs="Times New Roman"/>
          <w:sz w:val="21"/>
          <w:szCs w:val="21"/>
        </w:rPr>
        <w:t>费用。除特殊约定外，后付费方式的客户按月支付费用，每月6日至次月5日为支付上月费用的交费期限。预付费方式的客户需预付费用，当账户余额不足以支付客户拟使用的业务费用时，应及时充值。</w:t>
      </w:r>
      <w:r>
        <w:rPr>
          <w:rFonts w:hint="eastAsia" w:eastAsia="宋体" w:cs="Times New Roman"/>
          <w:sz w:val="21"/>
          <w:szCs w:val="21"/>
        </w:rPr>
        <w:br w:type="textWrapping"/>
      </w:r>
      <w:r>
        <w:rPr>
          <w:rFonts w:hint="eastAsia" w:eastAsia="宋体" w:cs="Times New Roman"/>
          <w:sz w:val="21"/>
          <w:szCs w:val="21"/>
        </w:rPr>
        <w:t>2.3.3 甲方逾期不交纳</w:t>
      </w:r>
      <w:r>
        <w:rPr>
          <w:rFonts w:hint="eastAsia" w:eastAsia="宋体" w:cs="Times New Roman"/>
          <w:sz w:val="21"/>
          <w:szCs w:val="21"/>
          <w:lang w:eastAsia="zh-CN"/>
        </w:rPr>
        <w:t>运营商</w:t>
      </w:r>
      <w:r>
        <w:rPr>
          <w:rFonts w:hint="eastAsia" w:eastAsia="宋体" w:cs="Times New Roman"/>
          <w:sz w:val="21"/>
          <w:szCs w:val="21"/>
        </w:rPr>
        <w:t>费用的，乙方有权采取限制呼出与呼入等措施，有权要求客户补交</w:t>
      </w:r>
      <w:r>
        <w:rPr>
          <w:rFonts w:hint="eastAsia" w:eastAsia="宋体" w:cs="Times New Roman"/>
          <w:sz w:val="21"/>
          <w:szCs w:val="21"/>
          <w:lang w:eastAsia="zh-CN"/>
        </w:rPr>
        <w:t>运营商</w:t>
      </w:r>
      <w:r>
        <w:rPr>
          <w:rFonts w:hint="eastAsia" w:eastAsia="宋体" w:cs="Times New Roman"/>
          <w:sz w:val="21"/>
          <w:szCs w:val="21"/>
        </w:rPr>
        <w:t>费用，并可以按照所欠费用每日加收3‰的违约金。组合套餐内如有业务逾期未缴纳费用，达到限制呼出或限制呼入条件的，乙方可对套餐内所有业务实施限制呼出或限制呼入。</w:t>
      </w:r>
      <w:r>
        <w:rPr>
          <w:rFonts w:hint="eastAsia" w:eastAsia="宋体" w:cs="Times New Roman"/>
          <w:sz w:val="21"/>
          <w:szCs w:val="21"/>
        </w:rPr>
        <w:br w:type="textWrapping"/>
      </w:r>
      <w:r>
        <w:rPr>
          <w:rFonts w:hint="eastAsia" w:eastAsia="宋体" w:cs="Times New Roman"/>
          <w:sz w:val="21"/>
          <w:szCs w:val="21"/>
        </w:rPr>
        <w:t>2.3.4 按照《</w:t>
      </w:r>
      <w:r>
        <w:rPr>
          <w:rFonts w:hint="eastAsia" w:eastAsia="宋体" w:cs="Times New Roman"/>
          <w:sz w:val="21"/>
          <w:szCs w:val="21"/>
          <w:lang w:eastAsia="zh-CN"/>
        </w:rPr>
        <w:t>运营商</w:t>
      </w:r>
      <w:r>
        <w:rPr>
          <w:rFonts w:hint="eastAsia" w:eastAsia="宋体" w:cs="Times New Roman"/>
          <w:sz w:val="21"/>
          <w:szCs w:val="21"/>
        </w:rPr>
        <w:t>条例》，后付费方式的客户，甲方超过收费约定30日不交纳费用时，乙方将暂停甲方</w:t>
      </w:r>
      <w:r>
        <w:rPr>
          <w:rFonts w:hint="eastAsia" w:eastAsia="宋体" w:cs="Times New Roman"/>
          <w:sz w:val="21"/>
          <w:szCs w:val="21"/>
          <w:lang w:eastAsia="zh-CN"/>
        </w:rPr>
        <w:t>运营商</w:t>
      </w:r>
      <w:r>
        <w:rPr>
          <w:rFonts w:hint="eastAsia" w:eastAsia="宋体" w:cs="Times New Roman"/>
          <w:sz w:val="21"/>
          <w:szCs w:val="21"/>
        </w:rPr>
        <w:t>业务的使用；在暂停甲方使用</w:t>
      </w:r>
      <w:r>
        <w:rPr>
          <w:rFonts w:hint="eastAsia" w:eastAsia="宋体" w:cs="Times New Roman"/>
          <w:sz w:val="21"/>
          <w:szCs w:val="21"/>
          <w:lang w:eastAsia="zh-CN"/>
        </w:rPr>
        <w:t>运营商</w:t>
      </w:r>
      <w:r>
        <w:rPr>
          <w:rFonts w:hint="eastAsia" w:eastAsia="宋体" w:cs="Times New Roman"/>
          <w:sz w:val="21"/>
          <w:szCs w:val="21"/>
        </w:rPr>
        <w:t>业务60日内，甲方仍未补交</w:t>
      </w:r>
      <w:r>
        <w:rPr>
          <w:rFonts w:hint="eastAsia" w:eastAsia="宋体" w:cs="Times New Roman"/>
          <w:sz w:val="21"/>
          <w:szCs w:val="21"/>
          <w:lang w:eastAsia="zh-CN"/>
        </w:rPr>
        <w:t>运营商</w:t>
      </w:r>
      <w:r>
        <w:rPr>
          <w:rFonts w:hint="eastAsia" w:eastAsia="宋体" w:cs="Times New Roman"/>
          <w:sz w:val="21"/>
          <w:szCs w:val="21"/>
        </w:rPr>
        <w:t>费用和违约金的，乙方可以终止提供</w:t>
      </w:r>
      <w:r>
        <w:rPr>
          <w:rFonts w:hint="eastAsia" w:eastAsia="宋体" w:cs="Times New Roman"/>
          <w:sz w:val="21"/>
          <w:szCs w:val="21"/>
          <w:lang w:eastAsia="zh-CN"/>
        </w:rPr>
        <w:t>运营商</w:t>
      </w:r>
      <w:r>
        <w:rPr>
          <w:rFonts w:hint="eastAsia" w:eastAsia="宋体" w:cs="Times New Roman"/>
          <w:sz w:val="21"/>
          <w:szCs w:val="21"/>
        </w:rPr>
        <w:t>业务使用的服务，并依法追缴欠费和违约金。</w:t>
      </w:r>
      <w:r>
        <w:rPr>
          <w:rFonts w:hint="eastAsia" w:eastAsia="宋体" w:cs="Times New Roman"/>
          <w:sz w:val="21"/>
          <w:szCs w:val="21"/>
        </w:rPr>
        <w:br w:type="textWrapping"/>
      </w:r>
      <w:r>
        <w:rPr>
          <w:rFonts w:hint="eastAsia" w:eastAsia="宋体" w:cs="Times New Roman"/>
          <w:sz w:val="21"/>
          <w:szCs w:val="21"/>
        </w:rPr>
        <w:t>2.3.5 甲方在欠费情况下，应补交欠费和相应的违约金后才能办理其他业务。</w:t>
      </w:r>
      <w:r>
        <w:rPr>
          <w:rFonts w:hint="eastAsia" w:eastAsia="宋体" w:cs="Times New Roman"/>
          <w:sz w:val="21"/>
          <w:szCs w:val="21"/>
        </w:rPr>
        <w:br w:type="textWrapping"/>
      </w:r>
      <w:r>
        <w:rPr>
          <w:rFonts w:hint="eastAsia" w:eastAsia="宋体" w:cs="Times New Roman"/>
          <w:sz w:val="21"/>
          <w:szCs w:val="21"/>
        </w:rPr>
        <w:t>第三条双方权利和义务</w:t>
      </w:r>
      <w:r>
        <w:rPr>
          <w:rFonts w:hint="eastAsia" w:eastAsia="宋体" w:cs="Times New Roman"/>
          <w:sz w:val="21"/>
          <w:szCs w:val="21"/>
        </w:rPr>
        <w:br w:type="textWrapping"/>
      </w:r>
      <w:r>
        <w:rPr>
          <w:rFonts w:hint="eastAsia" w:eastAsia="宋体" w:cs="Times New Roman"/>
          <w:sz w:val="21"/>
          <w:szCs w:val="21"/>
        </w:rPr>
        <w:t>3.1甲方权利和义务</w:t>
      </w:r>
      <w:r>
        <w:rPr>
          <w:rFonts w:hint="eastAsia" w:eastAsia="宋体" w:cs="Times New Roman"/>
          <w:sz w:val="21"/>
          <w:szCs w:val="21"/>
        </w:rPr>
        <w:br w:type="textWrapping"/>
      </w:r>
      <w:r>
        <w:rPr>
          <w:rFonts w:hint="eastAsia" w:eastAsia="宋体" w:cs="Times New Roman"/>
          <w:sz w:val="21"/>
          <w:szCs w:val="21"/>
        </w:rPr>
        <w:t>3.1.1应当依据法律规定以及本合同约定使用本合同项下业务，未经乙方同意，不得将在用的各类</w:t>
      </w:r>
      <w:r>
        <w:rPr>
          <w:rFonts w:hint="eastAsia" w:eastAsia="宋体" w:cs="Times New Roman"/>
          <w:sz w:val="21"/>
          <w:szCs w:val="21"/>
          <w:lang w:eastAsia="zh-CN"/>
        </w:rPr>
        <w:t>运营商</w:t>
      </w:r>
      <w:r>
        <w:rPr>
          <w:rFonts w:hint="eastAsia" w:eastAsia="宋体" w:cs="Times New Roman"/>
          <w:sz w:val="21"/>
          <w:szCs w:val="21"/>
        </w:rPr>
        <w:t>业务转租或无偿提供给第三方使用，否则，乙方有权解除本合同，甲方并应赔偿因此给乙方造成的损失。</w:t>
      </w:r>
      <w:r>
        <w:rPr>
          <w:rFonts w:hint="eastAsia" w:eastAsia="宋体" w:cs="Times New Roman"/>
          <w:sz w:val="21"/>
          <w:szCs w:val="21"/>
        </w:rPr>
        <w:br w:type="textWrapping"/>
      </w:r>
      <w:r>
        <w:rPr>
          <w:rFonts w:hint="eastAsia" w:eastAsia="宋体" w:cs="Times New Roman"/>
          <w:sz w:val="21"/>
          <w:szCs w:val="21"/>
        </w:rPr>
        <w:t>3.1.2应当依照本合同约定的费用标准和支付方式，按时足额向乙方缴纳本合同项下业务的各项费用，并不得利用各类</w:t>
      </w:r>
      <w:r>
        <w:rPr>
          <w:rFonts w:hint="eastAsia" w:eastAsia="宋体" w:cs="Times New Roman"/>
          <w:sz w:val="21"/>
          <w:szCs w:val="21"/>
          <w:lang w:eastAsia="zh-CN"/>
        </w:rPr>
        <w:t>运营商</w:t>
      </w:r>
      <w:r>
        <w:rPr>
          <w:rFonts w:hint="eastAsia" w:eastAsia="宋体" w:cs="Times New Roman"/>
          <w:sz w:val="21"/>
          <w:szCs w:val="21"/>
        </w:rPr>
        <w:t>业务进行违法活动。</w:t>
      </w:r>
      <w:r>
        <w:rPr>
          <w:rFonts w:hint="eastAsia" w:eastAsia="宋体" w:cs="Times New Roman"/>
          <w:sz w:val="21"/>
          <w:szCs w:val="21"/>
        </w:rPr>
        <w:br w:type="textWrapping"/>
      </w:r>
      <w:r>
        <w:rPr>
          <w:rFonts w:hint="eastAsia" w:eastAsia="宋体" w:cs="Times New Roman"/>
          <w:sz w:val="21"/>
          <w:szCs w:val="21"/>
        </w:rPr>
        <w:t>3.1.3向乙方提供准确详实的业务需求及业务资料，本合同有效期内甲方信息资料变更时应及时通知乙方，因甲方提供资料不真实、不准确或未及时通知乙方变更信息资料而引起的纠纷，甲方应负责解决，并承担全部责任。</w:t>
      </w:r>
      <w:r>
        <w:rPr>
          <w:rFonts w:hint="eastAsia" w:eastAsia="宋体" w:cs="Times New Roman"/>
          <w:sz w:val="21"/>
          <w:szCs w:val="21"/>
        </w:rPr>
        <w:br w:type="textWrapping"/>
      </w:r>
      <w:r>
        <w:rPr>
          <w:rFonts w:hint="eastAsia" w:eastAsia="宋体" w:cs="Times New Roman"/>
          <w:sz w:val="21"/>
          <w:szCs w:val="21"/>
        </w:rPr>
        <w:t>3.1.4甲方负责对本方内部通信网络的规划、组织、制定技术方案及示意图，负责本方设备投入及相关应用系统的建设，终端设备的网络接口应符合乙方接口标准。</w:t>
      </w:r>
      <w:r>
        <w:rPr>
          <w:rFonts w:hint="eastAsia" w:eastAsia="宋体" w:cs="Times New Roman"/>
          <w:sz w:val="21"/>
          <w:szCs w:val="21"/>
        </w:rPr>
        <w:br w:type="textWrapping"/>
      </w:r>
      <w:r>
        <w:rPr>
          <w:rFonts w:hint="eastAsia" w:eastAsia="宋体" w:cs="Times New Roman"/>
          <w:sz w:val="21"/>
          <w:szCs w:val="21"/>
        </w:rPr>
        <w:t>3.1.5配合乙方出于服务、技术或业务发展的需要而实施的线路检修、服务措施更新，以及设备更新和搬迁、工程割接、网络及软件升级等施工建设、技术改造与网络调整。</w:t>
      </w:r>
      <w:r>
        <w:rPr>
          <w:rFonts w:hint="eastAsia" w:eastAsia="宋体" w:cs="Times New Roman"/>
          <w:sz w:val="21"/>
          <w:szCs w:val="21"/>
        </w:rPr>
        <w:br w:type="textWrapping"/>
      </w:r>
      <w:r>
        <w:rPr>
          <w:rFonts w:hint="eastAsia" w:eastAsia="宋体" w:cs="Times New Roman"/>
          <w:sz w:val="21"/>
          <w:szCs w:val="21"/>
        </w:rPr>
        <w:t>3.1.6承诺在本合同约定的业务使用期内不停止使用本合同项下业务。</w:t>
      </w:r>
      <w:r>
        <w:rPr>
          <w:rFonts w:hint="eastAsia" w:eastAsia="宋体" w:cs="Times New Roman"/>
          <w:sz w:val="21"/>
          <w:szCs w:val="21"/>
        </w:rPr>
        <w:br w:type="textWrapping"/>
      </w:r>
      <w:r>
        <w:rPr>
          <w:rFonts w:hint="eastAsia" w:eastAsia="宋体" w:cs="Times New Roman"/>
          <w:sz w:val="21"/>
          <w:szCs w:val="21"/>
        </w:rPr>
        <w:t>3.1.7甲方将本合同的全部或部分权利义务转让给第三方的，须经乙方书面同意并办理有关手续，否则对乙方不发生任何法律效力。</w:t>
      </w:r>
      <w:r>
        <w:rPr>
          <w:rFonts w:hint="eastAsia" w:eastAsia="宋体" w:cs="Times New Roman"/>
          <w:sz w:val="21"/>
          <w:szCs w:val="21"/>
        </w:rPr>
        <w:br w:type="textWrapping"/>
      </w:r>
      <w:r>
        <w:rPr>
          <w:rFonts w:hint="eastAsia" w:eastAsia="宋体" w:cs="Times New Roman"/>
          <w:sz w:val="21"/>
          <w:szCs w:val="21"/>
        </w:rPr>
        <w:t>3.1.8应派专人负责做好业务开通的各项准备工作，包括但不限于：</w:t>
      </w:r>
      <w:r>
        <w:rPr>
          <w:rFonts w:hint="eastAsia" w:eastAsia="宋体" w:cs="Times New Roman"/>
          <w:sz w:val="21"/>
          <w:szCs w:val="21"/>
        </w:rPr>
        <w:br w:type="textWrapping"/>
      </w:r>
      <w:r>
        <w:rPr>
          <w:rFonts w:hint="eastAsia" w:eastAsia="宋体" w:cs="Times New Roman"/>
          <w:sz w:val="21"/>
          <w:szCs w:val="21"/>
        </w:rPr>
        <w:t>（1）业务开通前期的组织、协调工作。</w:t>
      </w:r>
      <w:r>
        <w:rPr>
          <w:rFonts w:hint="eastAsia" w:eastAsia="宋体" w:cs="Times New Roman"/>
          <w:sz w:val="21"/>
          <w:szCs w:val="21"/>
        </w:rPr>
        <w:br w:type="textWrapping"/>
      </w:r>
      <w:r>
        <w:rPr>
          <w:rFonts w:hint="eastAsia" w:eastAsia="宋体" w:cs="Times New Roman"/>
          <w:sz w:val="21"/>
          <w:szCs w:val="21"/>
        </w:rPr>
        <w:t>（2）无偿提供机房，并做好接入设备及安装场地的准备。</w:t>
      </w:r>
      <w:r>
        <w:rPr>
          <w:rFonts w:hint="eastAsia" w:eastAsia="宋体" w:cs="Times New Roman"/>
          <w:sz w:val="21"/>
          <w:szCs w:val="21"/>
        </w:rPr>
        <w:br w:type="textWrapping"/>
      </w:r>
      <w:r>
        <w:rPr>
          <w:rFonts w:hint="eastAsia" w:eastAsia="宋体" w:cs="Times New Roman"/>
          <w:sz w:val="21"/>
          <w:szCs w:val="21"/>
        </w:rPr>
        <w:t>（3）保证相关机构、人员、物业等业务各方配合乙方的业务开通调测工作。</w:t>
      </w:r>
      <w:r>
        <w:rPr>
          <w:rFonts w:hint="eastAsia" w:eastAsia="宋体" w:cs="Times New Roman"/>
          <w:sz w:val="21"/>
          <w:szCs w:val="21"/>
        </w:rPr>
        <w:br w:type="textWrapping"/>
      </w:r>
      <w:r>
        <w:rPr>
          <w:rFonts w:hint="eastAsia" w:eastAsia="宋体" w:cs="Times New Roman"/>
          <w:sz w:val="21"/>
          <w:szCs w:val="21"/>
        </w:rPr>
        <w:t>（4）根据接入服务的需要，调配和预留各接入场所内配线室至安装地点的通信线路。</w:t>
      </w:r>
      <w:r>
        <w:rPr>
          <w:rFonts w:hint="eastAsia" w:eastAsia="宋体" w:cs="Times New Roman"/>
          <w:sz w:val="21"/>
          <w:szCs w:val="21"/>
        </w:rPr>
        <w:br w:type="textWrapping"/>
      </w:r>
      <w:r>
        <w:rPr>
          <w:rFonts w:hint="eastAsia" w:eastAsia="宋体" w:cs="Times New Roman"/>
          <w:sz w:val="21"/>
          <w:szCs w:val="21"/>
        </w:rPr>
        <w:t>（5）提供有UPS保障的220V稳定电源，供乙方设备使用，并承担设备的用电费用。</w:t>
      </w:r>
      <w:r>
        <w:rPr>
          <w:rFonts w:hint="eastAsia" w:eastAsia="宋体" w:cs="Times New Roman"/>
          <w:sz w:val="21"/>
          <w:szCs w:val="21"/>
        </w:rPr>
        <w:br w:type="textWrapping"/>
      </w:r>
      <w:r>
        <w:rPr>
          <w:rFonts w:hint="eastAsia" w:eastAsia="宋体" w:cs="Times New Roman"/>
          <w:sz w:val="21"/>
          <w:szCs w:val="21"/>
        </w:rPr>
        <w:t>3.1.9使用乙方提供的互联网专线业务，应遵守国家相关的法律、法规和政策规定，如甲方在使用本业务时存在违反国家法律或相关规定的行为，甲方承担由此产生的全部责任；同时，甲方应向乙方承担违约责任，并赔偿乙方由此遭受的损失。</w:t>
      </w:r>
      <w:r>
        <w:rPr>
          <w:rFonts w:hint="eastAsia" w:eastAsia="宋体" w:cs="Times New Roman"/>
          <w:sz w:val="21"/>
          <w:szCs w:val="21"/>
        </w:rPr>
        <w:br w:type="textWrapping"/>
      </w:r>
      <w:r>
        <w:rPr>
          <w:rFonts w:hint="eastAsia" w:eastAsia="宋体" w:cs="Times New Roman"/>
          <w:sz w:val="21"/>
          <w:szCs w:val="21"/>
        </w:rPr>
        <w:t>3.1.10不得在使用的互联网专线及设备上加装其他各种设备及装置。</w:t>
      </w:r>
      <w:r>
        <w:rPr>
          <w:rFonts w:hint="eastAsia" w:eastAsia="宋体" w:cs="Times New Roman"/>
          <w:sz w:val="21"/>
          <w:szCs w:val="21"/>
        </w:rPr>
        <w:br w:type="textWrapping"/>
      </w:r>
      <w:r>
        <w:rPr>
          <w:rFonts w:hint="eastAsia" w:eastAsia="宋体" w:cs="Times New Roman"/>
          <w:sz w:val="21"/>
          <w:szCs w:val="21"/>
        </w:rPr>
        <w:t>3.1.11不得利用乙方提供的互联网接入业务经营甲方不具备资质的其他</w:t>
      </w:r>
      <w:r>
        <w:rPr>
          <w:rFonts w:hint="eastAsia" w:eastAsia="宋体" w:cs="Times New Roman"/>
          <w:sz w:val="21"/>
          <w:szCs w:val="21"/>
          <w:lang w:eastAsia="zh-CN"/>
        </w:rPr>
        <w:t>运营商</w:t>
      </w:r>
      <w:r>
        <w:rPr>
          <w:rFonts w:hint="eastAsia" w:eastAsia="宋体" w:cs="Times New Roman"/>
          <w:sz w:val="21"/>
          <w:szCs w:val="21"/>
        </w:rPr>
        <w:t>业务。不得将互联网专线以任何方式（包括但不限于私拉光纤进行转接、建立VPN隧道等手段）为任何第三方提供穿透流量接入。除骨干核心正常互联互通点之外，甲方的任何网络节点不得有其他运营商和互联单位等的穿透流量接入，包括但不限于乙方上级以及乙方系统监测到的违规IP地址接入。</w:t>
      </w:r>
      <w:r>
        <w:rPr>
          <w:rFonts w:hint="eastAsia" w:eastAsia="宋体" w:cs="Times New Roman"/>
          <w:sz w:val="21"/>
          <w:szCs w:val="21"/>
        </w:rPr>
        <w:br w:type="textWrapping"/>
      </w:r>
      <w:r>
        <w:rPr>
          <w:rFonts w:hint="eastAsia" w:eastAsia="宋体" w:cs="Times New Roman"/>
          <w:sz w:val="21"/>
          <w:szCs w:val="21"/>
        </w:rPr>
        <w:t>3.1.12甲方从事非经营性互联网信息服务的，须严格遵循《非经营性互联网备案管理办法》之规定，不能接入未备案网站；甲方应对备案网站用户信息进行动态维护和更新，并定期向乙方报送网站信息和变更信息。甲方承诺并确认：甲方所提交的所有备案信息真实有效，当提供的备案信息发生变化时应及时向乙方提交更新信息，如因未及时更新而导致备案信息不准确的，乙方有权依法采取断开网络接入等关停处置措施。</w:t>
      </w:r>
      <w:r>
        <w:rPr>
          <w:rFonts w:hint="eastAsia" w:eastAsia="宋体" w:cs="Times New Roman"/>
          <w:sz w:val="21"/>
          <w:szCs w:val="21"/>
        </w:rPr>
        <w:br w:type="textWrapping"/>
      </w:r>
      <w:r>
        <w:rPr>
          <w:rFonts w:hint="eastAsia" w:eastAsia="宋体" w:cs="Times New Roman"/>
          <w:sz w:val="21"/>
          <w:szCs w:val="21"/>
        </w:rPr>
        <w:t>3.1.13甲方按照本合同约定享受专线服务，并对所涉专线负有保管责任；若由于甲方原因造成专线损坏的，须按价赔偿。本合同终止或双方协商一致变更具体业务类型的，乙方有权要求甲方归还相应设备、终端，甲方无法归还或设备、终端损坏的，须按价赔偿。</w:t>
      </w:r>
      <w:r>
        <w:rPr>
          <w:rFonts w:hint="eastAsia" w:eastAsia="宋体" w:cs="Times New Roman"/>
          <w:sz w:val="21"/>
          <w:szCs w:val="21"/>
        </w:rPr>
        <w:br w:type="textWrapping"/>
      </w:r>
      <w:r>
        <w:rPr>
          <w:rFonts w:hint="eastAsia" w:eastAsia="宋体" w:cs="Times New Roman"/>
          <w:sz w:val="21"/>
          <w:szCs w:val="21"/>
        </w:rPr>
        <w:t>3.1.14 甲方承诺遵守附件一《互联网专线业务用户入网责任书》和附件二《网络信息安全承诺书》相关内容。</w:t>
      </w:r>
      <w:r>
        <w:rPr>
          <w:rFonts w:hint="eastAsia" w:eastAsia="宋体" w:cs="Times New Roman"/>
          <w:sz w:val="21"/>
          <w:szCs w:val="21"/>
        </w:rPr>
        <w:br w:type="textWrapping"/>
      </w:r>
      <w:r>
        <w:rPr>
          <w:rFonts w:hint="eastAsia" w:eastAsia="宋体" w:cs="Times New Roman"/>
          <w:sz w:val="21"/>
          <w:szCs w:val="21"/>
        </w:rPr>
        <w:t>3.1.15 如果甲方自带IP地址入网，甲方应保证该等IP地址的合法性，提供该等IP地址的合法性证明，并就该等自带IP地址与乙方签订安全合同作为本合同附件。</w:t>
      </w:r>
      <w:r>
        <w:rPr>
          <w:rFonts w:hint="eastAsia" w:eastAsia="宋体" w:cs="Times New Roman"/>
          <w:sz w:val="21"/>
          <w:szCs w:val="21"/>
        </w:rPr>
        <w:br w:type="textWrapping"/>
      </w:r>
      <w:r>
        <w:rPr>
          <w:rFonts w:hint="eastAsia" w:eastAsia="宋体" w:cs="Times New Roman"/>
          <w:sz w:val="21"/>
          <w:szCs w:val="21"/>
        </w:rPr>
        <w:t>3.1.16 甲方应按照国家法律法规的规定及本合同的约定合理使用业务，在使用业务过程中不得从事损害乙方及他人合法权益的活动。未经乙方书面同意，不得将本业务以任何方式提供给第三方使用，也不得用于本合同约定用途以外的其他用途。</w:t>
      </w:r>
      <w:r>
        <w:rPr>
          <w:rFonts w:hint="eastAsia" w:eastAsia="宋体" w:cs="Times New Roman"/>
          <w:sz w:val="21"/>
          <w:szCs w:val="21"/>
        </w:rPr>
        <w:br w:type="textWrapping"/>
      </w:r>
      <w:r>
        <w:rPr>
          <w:rFonts w:hint="eastAsia" w:eastAsia="宋体" w:cs="Times New Roman"/>
          <w:sz w:val="21"/>
          <w:szCs w:val="21"/>
        </w:rPr>
        <w:t>3.2乙方权利和义务</w:t>
      </w:r>
      <w:r>
        <w:rPr>
          <w:rFonts w:hint="eastAsia" w:eastAsia="宋体" w:cs="Times New Roman"/>
          <w:sz w:val="21"/>
          <w:szCs w:val="21"/>
        </w:rPr>
        <w:br w:type="textWrapping"/>
      </w:r>
      <w:r>
        <w:rPr>
          <w:rFonts w:hint="eastAsia" w:eastAsia="宋体" w:cs="Times New Roman"/>
          <w:sz w:val="21"/>
          <w:szCs w:val="21"/>
        </w:rPr>
        <w:t>3.2.1依法保护甲方的通信自由和通信秘密，并对甲方提供的相关资料予以保密，但为建立与甲方沟通渠道、改善服务工作，乙方可以使用本合同涉及的甲方信息资料。</w:t>
      </w:r>
      <w:r>
        <w:rPr>
          <w:rFonts w:hint="eastAsia" w:eastAsia="宋体" w:cs="Times New Roman"/>
          <w:sz w:val="21"/>
          <w:szCs w:val="21"/>
        </w:rPr>
        <w:br w:type="textWrapping"/>
      </w:r>
      <w:r>
        <w:rPr>
          <w:rFonts w:hint="eastAsia" w:eastAsia="宋体" w:cs="Times New Roman"/>
          <w:sz w:val="21"/>
          <w:szCs w:val="21"/>
        </w:rPr>
        <w:t>3.2.2视甲方为乙方的集团客户，提供本合同项下业务，并为甲方提供业务咨询、组网建议、业务受理、开通、收费及故障申告等一站式服务。</w:t>
      </w:r>
      <w:r>
        <w:rPr>
          <w:rFonts w:hint="eastAsia" w:eastAsia="宋体" w:cs="Times New Roman"/>
          <w:sz w:val="21"/>
          <w:szCs w:val="21"/>
        </w:rPr>
        <w:br w:type="textWrapping"/>
      </w:r>
      <w:r>
        <w:rPr>
          <w:rFonts w:hint="eastAsia" w:eastAsia="宋体" w:cs="Times New Roman"/>
          <w:sz w:val="21"/>
          <w:szCs w:val="21"/>
        </w:rPr>
        <w:t>3.2.3负责进行本业务的连接、调通、测试。</w:t>
      </w:r>
      <w:r>
        <w:rPr>
          <w:rFonts w:hint="eastAsia" w:eastAsia="宋体" w:cs="Times New Roman"/>
          <w:sz w:val="21"/>
          <w:szCs w:val="21"/>
        </w:rPr>
        <w:br w:type="textWrapping"/>
      </w:r>
      <w:r>
        <w:rPr>
          <w:rFonts w:hint="eastAsia" w:eastAsia="宋体" w:cs="Times New Roman"/>
          <w:sz w:val="21"/>
          <w:szCs w:val="21"/>
        </w:rPr>
        <w:t>3.2.4在资源具备，且甲方交付了本合同约定的一次性费用后，根据双方协商的开通时间开通使用业务。</w:t>
      </w:r>
      <w:r>
        <w:rPr>
          <w:rFonts w:hint="eastAsia" w:eastAsia="宋体" w:cs="Times New Roman"/>
          <w:sz w:val="21"/>
          <w:szCs w:val="21"/>
        </w:rPr>
        <w:br w:type="textWrapping"/>
      </w:r>
      <w:r>
        <w:rPr>
          <w:rFonts w:hint="eastAsia" w:eastAsia="宋体" w:cs="Times New Roman"/>
          <w:sz w:val="21"/>
          <w:szCs w:val="21"/>
        </w:rPr>
        <w:t>3.2.5采取必要措施方便甲方查询和交纳本合同约定的各项费用。</w:t>
      </w:r>
      <w:r>
        <w:rPr>
          <w:rFonts w:hint="eastAsia" w:eastAsia="宋体" w:cs="Times New Roman"/>
          <w:sz w:val="21"/>
          <w:szCs w:val="21"/>
        </w:rPr>
        <w:br w:type="textWrapping"/>
      </w:r>
      <w:r>
        <w:rPr>
          <w:rFonts w:hint="eastAsia" w:eastAsia="宋体" w:cs="Times New Roman"/>
          <w:sz w:val="21"/>
          <w:szCs w:val="21"/>
        </w:rPr>
        <w:t>3.2.</w:t>
      </w:r>
      <w:r>
        <w:rPr>
          <w:rFonts w:hint="eastAsia" w:eastAsia="宋体" w:cs="Times New Roman"/>
          <w:sz w:val="21"/>
          <w:szCs w:val="21"/>
          <w:lang w:val="en-US" w:eastAsia="zh-CN"/>
        </w:rPr>
        <w:t>6</w:t>
      </w:r>
      <w:r>
        <w:rPr>
          <w:rFonts w:hint="eastAsia" w:eastAsia="宋体" w:cs="Times New Roman"/>
          <w:sz w:val="21"/>
          <w:szCs w:val="21"/>
        </w:rPr>
        <w:t>乙方有权根据国家规定、市场规则等对</w:t>
      </w:r>
      <w:r>
        <w:rPr>
          <w:rFonts w:hint="eastAsia" w:eastAsia="宋体" w:cs="Times New Roman"/>
          <w:sz w:val="21"/>
          <w:szCs w:val="21"/>
          <w:lang w:eastAsia="zh-CN"/>
        </w:rPr>
        <w:t>运营商</w:t>
      </w:r>
      <w:r>
        <w:rPr>
          <w:rFonts w:hint="eastAsia" w:eastAsia="宋体" w:cs="Times New Roman"/>
          <w:sz w:val="21"/>
          <w:szCs w:val="21"/>
        </w:rPr>
        <w:t>业务服务内容进行统一变更，可以电话语音、广播、电视、公开张贴、信函、报纸或互联网等方式进行，具有法律效力。</w:t>
      </w:r>
      <w:r>
        <w:rPr>
          <w:rFonts w:hint="eastAsia" w:eastAsia="宋体" w:cs="Times New Roman"/>
          <w:sz w:val="21"/>
          <w:szCs w:val="21"/>
        </w:rPr>
        <w:br w:type="textWrapping"/>
      </w:r>
      <w:r>
        <w:rPr>
          <w:rFonts w:hint="eastAsia" w:eastAsia="宋体" w:cs="Times New Roman"/>
          <w:sz w:val="21"/>
          <w:szCs w:val="21"/>
        </w:rPr>
        <w:t>3.2.</w:t>
      </w:r>
      <w:r>
        <w:rPr>
          <w:rFonts w:hint="eastAsia" w:eastAsia="宋体" w:cs="Times New Roman"/>
          <w:sz w:val="21"/>
          <w:szCs w:val="21"/>
          <w:lang w:val="en-US" w:eastAsia="zh-CN"/>
        </w:rPr>
        <w:t>7</w:t>
      </w:r>
      <w:r>
        <w:rPr>
          <w:rFonts w:hint="eastAsia" w:eastAsia="宋体" w:cs="Times New Roman"/>
          <w:sz w:val="21"/>
          <w:szCs w:val="21"/>
        </w:rPr>
        <w:t>对因线路检修、服务措施更新、技术改造及网络调整等原因影响本合同项下业务效果的，乙方不承担赔偿责任。</w:t>
      </w:r>
      <w:r>
        <w:rPr>
          <w:rFonts w:hint="eastAsia" w:eastAsia="宋体" w:cs="Times New Roman"/>
          <w:sz w:val="21"/>
          <w:szCs w:val="21"/>
        </w:rPr>
        <w:br w:type="textWrapping"/>
      </w:r>
      <w:r>
        <w:rPr>
          <w:rFonts w:hint="eastAsia" w:eastAsia="宋体" w:cs="Times New Roman"/>
          <w:sz w:val="21"/>
          <w:szCs w:val="21"/>
        </w:rPr>
        <w:t>3.2.</w:t>
      </w:r>
      <w:r>
        <w:rPr>
          <w:rFonts w:hint="eastAsia" w:eastAsia="宋体" w:cs="Times New Roman"/>
          <w:sz w:val="21"/>
          <w:szCs w:val="21"/>
          <w:lang w:val="en-US" w:eastAsia="zh-CN"/>
        </w:rPr>
        <w:t>8</w:t>
      </w:r>
      <w:r>
        <w:rPr>
          <w:rFonts w:hint="eastAsia" w:eastAsia="宋体" w:cs="Times New Roman"/>
          <w:sz w:val="21"/>
          <w:szCs w:val="21"/>
        </w:rPr>
        <w:t>对所投资的线路和设备拥有所有权。服务期内，甲方对乙方提供的线路和设备有保管责任。若由于甲方原因造成该等线路或设备损坏的，须按价赔偿。</w:t>
      </w:r>
      <w:r>
        <w:rPr>
          <w:rFonts w:hint="eastAsia" w:eastAsia="宋体" w:cs="Times New Roman"/>
          <w:sz w:val="21"/>
          <w:szCs w:val="21"/>
        </w:rPr>
        <w:br w:type="textWrapping"/>
      </w:r>
      <w:r>
        <w:rPr>
          <w:rFonts w:hint="eastAsia" w:eastAsia="宋体" w:cs="Times New Roman"/>
          <w:sz w:val="21"/>
          <w:szCs w:val="21"/>
        </w:rPr>
        <w:t>3.2</w:t>
      </w:r>
      <w:r>
        <w:rPr>
          <w:rFonts w:hint="eastAsia" w:eastAsia="宋体" w:cs="Times New Roman"/>
          <w:sz w:val="21"/>
          <w:szCs w:val="21"/>
          <w:lang w:val="en-US" w:eastAsia="zh-CN"/>
        </w:rPr>
        <w:t>.9</w:t>
      </w:r>
      <w:r>
        <w:rPr>
          <w:rFonts w:hint="eastAsia" w:eastAsia="宋体" w:cs="Times New Roman"/>
          <w:sz w:val="21"/>
          <w:szCs w:val="21"/>
        </w:rPr>
        <w:t>本合同终止后，乙方有权收回甲方原使用的业务号码和IP地址等所有网络资源，并在90日后分配给其他客户使用。</w:t>
      </w:r>
      <w:r>
        <w:rPr>
          <w:rFonts w:hint="eastAsia" w:eastAsia="宋体" w:cs="Times New Roman"/>
          <w:sz w:val="21"/>
          <w:szCs w:val="21"/>
        </w:rPr>
        <w:br w:type="textWrapping"/>
      </w:r>
      <w:r>
        <w:rPr>
          <w:rFonts w:hint="eastAsia" w:eastAsia="宋体" w:cs="Times New Roman"/>
          <w:sz w:val="21"/>
          <w:szCs w:val="21"/>
        </w:rPr>
        <w:t>3.2.1</w:t>
      </w:r>
      <w:r>
        <w:rPr>
          <w:rFonts w:hint="eastAsia" w:eastAsia="宋体" w:cs="Times New Roman"/>
          <w:sz w:val="21"/>
          <w:szCs w:val="21"/>
          <w:lang w:val="en-US" w:eastAsia="zh-CN"/>
        </w:rPr>
        <w:t>0</w:t>
      </w:r>
      <w:r>
        <w:rPr>
          <w:rFonts w:hint="eastAsia" w:eastAsia="宋体" w:cs="Times New Roman"/>
          <w:sz w:val="21"/>
          <w:szCs w:val="21"/>
        </w:rPr>
        <w:t xml:space="preserve"> 如遇乙方业务政策调整，则本合同内容相应调整，甲方对此予以认可。</w:t>
      </w:r>
      <w:r>
        <w:rPr>
          <w:rFonts w:hint="eastAsia" w:eastAsia="宋体" w:cs="Times New Roman"/>
          <w:sz w:val="21"/>
          <w:szCs w:val="21"/>
        </w:rPr>
        <w:br w:type="textWrapping"/>
      </w:r>
      <w:r>
        <w:rPr>
          <w:rFonts w:hint="eastAsia" w:eastAsia="宋体" w:cs="Times New Roman"/>
          <w:sz w:val="21"/>
          <w:szCs w:val="21"/>
        </w:rPr>
        <w:t>第四条服务质量</w:t>
      </w:r>
      <w:r>
        <w:rPr>
          <w:rFonts w:hint="eastAsia" w:eastAsia="宋体" w:cs="Times New Roman"/>
          <w:sz w:val="21"/>
          <w:szCs w:val="21"/>
        </w:rPr>
        <w:br w:type="textWrapping"/>
      </w:r>
      <w:r>
        <w:rPr>
          <w:rFonts w:hint="eastAsia" w:eastAsia="宋体" w:cs="Times New Roman"/>
          <w:sz w:val="21"/>
          <w:szCs w:val="21"/>
        </w:rPr>
        <w:t>4.1双方承诺严格遵守《中华人民共和国网络安全法》《中华人民共和国电信条例》等国家有关法律法规履行本合同，维护双方权益。</w:t>
      </w:r>
      <w:r>
        <w:rPr>
          <w:rFonts w:hint="eastAsia" w:eastAsia="宋体" w:cs="Times New Roman"/>
          <w:sz w:val="21"/>
          <w:szCs w:val="21"/>
        </w:rPr>
        <w:br w:type="textWrapping"/>
      </w:r>
      <w:r>
        <w:rPr>
          <w:rFonts w:hint="eastAsia" w:eastAsia="宋体" w:cs="Times New Roman"/>
          <w:sz w:val="21"/>
          <w:szCs w:val="21"/>
        </w:rPr>
        <w:t>4.2乙方按国家主管部门颁布的</w:t>
      </w:r>
      <w:r>
        <w:rPr>
          <w:rFonts w:hint="eastAsia" w:eastAsia="宋体" w:cs="Times New Roman"/>
          <w:sz w:val="21"/>
          <w:szCs w:val="21"/>
          <w:lang w:eastAsia="zh-CN"/>
        </w:rPr>
        <w:t>运营商</w:t>
      </w:r>
      <w:r>
        <w:rPr>
          <w:rFonts w:hint="eastAsia" w:eastAsia="宋体" w:cs="Times New Roman"/>
          <w:sz w:val="21"/>
          <w:szCs w:val="21"/>
        </w:rPr>
        <w:t>服务标准和电路质量要求提供服务，保证使用的业务畅通。</w:t>
      </w:r>
      <w:r>
        <w:rPr>
          <w:rFonts w:hint="eastAsia" w:eastAsia="宋体" w:cs="Times New Roman"/>
          <w:sz w:val="21"/>
          <w:szCs w:val="21"/>
        </w:rPr>
        <w:br w:type="textWrapping"/>
      </w:r>
      <w:r>
        <w:rPr>
          <w:rFonts w:hint="eastAsia" w:eastAsia="宋体" w:cs="Times New Roman"/>
          <w:sz w:val="21"/>
          <w:szCs w:val="21"/>
        </w:rPr>
        <w:t>4.3若本合同履行期间，国家颁布新的法律法规和服务标准，则自新的法律法规和服务标准生效之日起按照新的法律法规和服务标准执行。</w:t>
      </w:r>
      <w:r>
        <w:rPr>
          <w:rFonts w:hint="eastAsia" w:eastAsia="宋体" w:cs="Times New Roman"/>
          <w:sz w:val="21"/>
          <w:szCs w:val="21"/>
        </w:rPr>
        <w:br w:type="textWrapping"/>
      </w:r>
      <w:r>
        <w:rPr>
          <w:rFonts w:hint="eastAsia" w:eastAsia="宋体" w:cs="Times New Roman"/>
          <w:sz w:val="21"/>
          <w:szCs w:val="21"/>
        </w:rPr>
        <w:t>4.4故障申告采取“就近申告、首问负责”的原则。甲方向乙方下属机构就近申告，乙方下属机构实行“首问负责制”，向甲方提供及时的服务，负责故障的处理。</w:t>
      </w:r>
      <w:r>
        <w:rPr>
          <w:rFonts w:hint="eastAsia" w:eastAsia="宋体" w:cs="Times New Roman"/>
          <w:sz w:val="21"/>
          <w:szCs w:val="21"/>
        </w:rPr>
        <w:br w:type="textWrapping"/>
      </w:r>
      <w:r>
        <w:rPr>
          <w:rFonts w:hint="eastAsia" w:eastAsia="宋体" w:cs="Times New Roman"/>
          <w:sz w:val="21"/>
          <w:szCs w:val="21"/>
        </w:rPr>
        <w:t>4.5由于甲方自备设备故障或甲方操作不当造成的故障，甲方自行承担责任，并赔偿乙方由此遭受的损失。</w:t>
      </w:r>
      <w:r>
        <w:rPr>
          <w:rFonts w:hint="eastAsia" w:eastAsia="宋体" w:cs="Times New Roman"/>
          <w:sz w:val="21"/>
          <w:szCs w:val="21"/>
        </w:rPr>
        <w:br w:type="textWrapping"/>
      </w:r>
      <w:r>
        <w:rPr>
          <w:rFonts w:hint="eastAsia" w:eastAsia="宋体" w:cs="Times New Roman"/>
          <w:sz w:val="21"/>
          <w:szCs w:val="21"/>
        </w:rPr>
        <w:t>4.6因乙方施工、网络割接等原因影响本业务的正常使用的，乙方应当提前通知甲方，并且尽快消除故障、恢复业务。</w:t>
      </w:r>
      <w:r>
        <w:rPr>
          <w:rFonts w:hint="eastAsia" w:eastAsia="宋体" w:cs="Times New Roman"/>
          <w:sz w:val="21"/>
          <w:szCs w:val="21"/>
        </w:rPr>
        <w:br w:type="textWrapping"/>
      </w:r>
      <w:r>
        <w:rPr>
          <w:rFonts w:hint="eastAsia" w:eastAsia="宋体" w:cs="Times New Roman"/>
          <w:sz w:val="21"/>
          <w:szCs w:val="21"/>
        </w:rPr>
        <w:t>4.7如乙方因国防需要、政府指令、网络维护、网络调整、网络安全等因素在网络上对服务进行更改或变动，乙方应当提前通知甲方，甲方应予配合。</w:t>
      </w:r>
      <w:r>
        <w:rPr>
          <w:rFonts w:hint="eastAsia" w:eastAsia="宋体" w:cs="Times New Roman"/>
          <w:sz w:val="21"/>
          <w:szCs w:val="21"/>
        </w:rPr>
        <w:br w:type="textWrapping"/>
      </w:r>
      <w:r>
        <w:rPr>
          <w:rFonts w:hint="eastAsia" w:eastAsia="宋体" w:cs="Times New Roman"/>
          <w:sz w:val="21"/>
          <w:szCs w:val="21"/>
        </w:rPr>
        <w:t>4.8双方同意建立协商制度，加强日常沟通，及时处理影响通信质量的问题。</w:t>
      </w:r>
      <w:r>
        <w:rPr>
          <w:rFonts w:hint="eastAsia" w:eastAsia="宋体" w:cs="Times New Roman"/>
          <w:sz w:val="21"/>
          <w:szCs w:val="21"/>
        </w:rPr>
        <w:br w:type="textWrapping"/>
      </w:r>
      <w:r>
        <w:rPr>
          <w:rFonts w:hint="eastAsia" w:eastAsia="宋体" w:cs="Times New Roman"/>
          <w:sz w:val="21"/>
          <w:szCs w:val="21"/>
        </w:rPr>
        <w:t>第五条保密及双方承诺</w:t>
      </w:r>
      <w:r>
        <w:rPr>
          <w:rFonts w:hint="eastAsia" w:eastAsia="宋体" w:cs="Times New Roman"/>
          <w:sz w:val="21"/>
          <w:szCs w:val="21"/>
        </w:rPr>
        <w:br w:type="textWrapping"/>
      </w:r>
      <w:r>
        <w:rPr>
          <w:rFonts w:hint="eastAsia" w:eastAsia="宋体" w:cs="Times New Roman"/>
          <w:sz w:val="21"/>
          <w:szCs w:val="21"/>
        </w:rPr>
        <w:t>5.1未经对方书面许可，任何一方不得向第三方提供或披露因本合同的签订和履行而得知的与对方业务有关的资料和信息，法律另有规定或本合同另有约定的除外。乙方向其公司提供或披露与甲方业务有关的资料和信息的，不受此限。</w:t>
      </w:r>
      <w:r>
        <w:rPr>
          <w:rFonts w:hint="eastAsia" w:eastAsia="宋体" w:cs="Times New Roman"/>
          <w:sz w:val="21"/>
          <w:szCs w:val="21"/>
        </w:rPr>
        <w:br w:type="textWrapping"/>
      </w:r>
      <w:r>
        <w:rPr>
          <w:rFonts w:hint="eastAsia" w:eastAsia="宋体" w:cs="Times New Roman"/>
          <w:sz w:val="21"/>
          <w:szCs w:val="21"/>
        </w:rPr>
        <w:t>5.2本保密条款在本合同有效期内及本合同终止后[5]年之内持续有效。</w:t>
      </w:r>
      <w:r>
        <w:rPr>
          <w:rFonts w:hint="eastAsia" w:eastAsia="宋体" w:cs="Times New Roman"/>
          <w:sz w:val="21"/>
          <w:szCs w:val="21"/>
        </w:rPr>
        <w:br w:type="textWrapping"/>
      </w:r>
      <w:r>
        <w:rPr>
          <w:rFonts w:hint="eastAsia" w:eastAsia="宋体" w:cs="Times New Roman"/>
          <w:sz w:val="21"/>
          <w:szCs w:val="21"/>
        </w:rPr>
        <w:t>5.3基于利益对等、长期合作的原则，乙方承诺给予甲方优惠、优质的</w:t>
      </w:r>
      <w:r>
        <w:rPr>
          <w:rFonts w:hint="eastAsia" w:eastAsia="宋体" w:cs="Times New Roman"/>
          <w:sz w:val="21"/>
          <w:szCs w:val="21"/>
          <w:lang w:eastAsia="zh-CN"/>
        </w:rPr>
        <w:t>运营商</w:t>
      </w:r>
      <w:r>
        <w:rPr>
          <w:rFonts w:hint="eastAsia" w:eastAsia="宋体" w:cs="Times New Roman"/>
          <w:sz w:val="21"/>
          <w:szCs w:val="21"/>
        </w:rPr>
        <w:t>服务，甲方承诺在合同有效期内优先选择乙方的各种</w:t>
      </w:r>
      <w:r>
        <w:rPr>
          <w:rFonts w:hint="eastAsia" w:eastAsia="宋体" w:cs="Times New Roman"/>
          <w:sz w:val="21"/>
          <w:szCs w:val="21"/>
          <w:lang w:eastAsia="zh-CN"/>
        </w:rPr>
        <w:t>运营商</w:t>
      </w:r>
      <w:r>
        <w:rPr>
          <w:rFonts w:hint="eastAsia" w:eastAsia="宋体" w:cs="Times New Roman"/>
          <w:sz w:val="21"/>
          <w:szCs w:val="21"/>
        </w:rPr>
        <w:t>业务（乙方不能提供的除外）。</w:t>
      </w:r>
      <w:r>
        <w:rPr>
          <w:rFonts w:hint="eastAsia" w:eastAsia="宋体" w:cs="Times New Roman"/>
          <w:sz w:val="21"/>
          <w:szCs w:val="21"/>
        </w:rPr>
        <w:br w:type="textWrapping"/>
      </w:r>
      <w:r>
        <w:rPr>
          <w:rFonts w:hint="eastAsia" w:eastAsia="宋体" w:cs="Times New Roman"/>
          <w:sz w:val="21"/>
          <w:szCs w:val="21"/>
        </w:rPr>
        <w:t>第六条违约责任</w:t>
      </w:r>
      <w:r>
        <w:rPr>
          <w:rFonts w:hint="eastAsia" w:eastAsia="宋体" w:cs="Times New Roman"/>
          <w:sz w:val="21"/>
          <w:szCs w:val="21"/>
        </w:rPr>
        <w:br w:type="textWrapping"/>
      </w:r>
      <w:r>
        <w:rPr>
          <w:rFonts w:hint="eastAsia" w:eastAsia="宋体" w:cs="Times New Roman"/>
          <w:sz w:val="21"/>
          <w:szCs w:val="21"/>
        </w:rPr>
        <w:t>6.1在本合同有效期内，任何一方违反本合同中的任一条款，或者非依法定或合同约定而单方面终止本合同，均视为违约。</w:t>
      </w:r>
      <w:r>
        <w:rPr>
          <w:rFonts w:hint="eastAsia" w:eastAsia="宋体" w:cs="Times New Roman"/>
          <w:sz w:val="21"/>
          <w:szCs w:val="21"/>
        </w:rPr>
        <w:br w:type="textWrapping"/>
      </w:r>
      <w:r>
        <w:rPr>
          <w:rFonts w:hint="eastAsia" w:eastAsia="宋体" w:cs="Times New Roman"/>
          <w:sz w:val="21"/>
          <w:szCs w:val="21"/>
        </w:rPr>
        <w:t>6.2业务使用期内，本合同依据有关条款约定被终止或解除的，则乙方有权取消已给予甲方的所有优惠，甲方应补交其所享受的优惠资费与正常资费（包括但不限于开通接入费用和使用费用）之间的差额。</w:t>
      </w:r>
      <w:r>
        <w:rPr>
          <w:rFonts w:hint="eastAsia" w:eastAsia="宋体" w:cs="Times New Roman"/>
          <w:sz w:val="21"/>
          <w:szCs w:val="21"/>
        </w:rPr>
        <w:br w:type="textWrapping"/>
      </w:r>
      <w:r>
        <w:rPr>
          <w:rFonts w:hint="eastAsia" w:eastAsia="宋体" w:cs="Times New Roman"/>
          <w:sz w:val="21"/>
          <w:szCs w:val="21"/>
        </w:rPr>
        <w:t>6.3如甲方使用本业务违反本合同约定的，包括但不限于在本合同签订时不具备开展业务所需的全部资质许可、未履行相关手续或在本合同有效期内丧失全部或部分资质许可的，乙方有权暂停提供互联网接入服务并要求甲方在限期内改正或立即终止本合同并不承担任何责任。甲方应赔偿合同期内的由此给乙方造成的损失（即国家物价部门核算的</w:t>
      </w:r>
      <w:r>
        <w:rPr>
          <w:rFonts w:hint="eastAsia" w:eastAsia="宋体" w:cs="Times New Roman"/>
          <w:sz w:val="21"/>
          <w:szCs w:val="21"/>
          <w:lang w:eastAsia="zh-CN"/>
        </w:rPr>
        <w:t>运营商</w:t>
      </w:r>
      <w:r>
        <w:rPr>
          <w:rFonts w:hint="eastAsia" w:eastAsia="宋体" w:cs="Times New Roman"/>
          <w:sz w:val="21"/>
          <w:szCs w:val="21"/>
        </w:rPr>
        <w:t>业务标准资费-本合同约定的优惠资费）及乙方为向甲方提供业务所投入的一次性工程费、建设费等/ 万元。</w:t>
      </w:r>
      <w:r>
        <w:rPr>
          <w:rFonts w:hint="eastAsia" w:eastAsia="宋体" w:cs="Times New Roman"/>
          <w:sz w:val="21"/>
          <w:szCs w:val="21"/>
        </w:rPr>
        <w:br w:type="textWrapping"/>
      </w:r>
      <w:r>
        <w:rPr>
          <w:rFonts w:hint="eastAsia" w:eastAsia="宋体" w:cs="Times New Roman"/>
          <w:sz w:val="21"/>
          <w:szCs w:val="21"/>
        </w:rPr>
        <w:t>6.4如果因甲方原因（域名劫持、网站被黑等情况除外），在同一个IP地址反复出现未备案网站或出现主体信息错误或与实际不符的情况的，乙方有权终止服务并将甲方列入黑名单，此后乙方有权不再受理甲方业务的申请。以上关停处置措施有可能导致甲方同一IP地址的其他网站也被关停。相关网站被关停的后果由甲方自行承担，并赔偿乙方的相应损失。</w:t>
      </w:r>
      <w:r>
        <w:rPr>
          <w:rFonts w:hint="eastAsia" w:eastAsia="宋体" w:cs="Times New Roman"/>
          <w:sz w:val="21"/>
          <w:szCs w:val="21"/>
        </w:rPr>
        <w:br w:type="textWrapping"/>
      </w:r>
      <w:r>
        <w:rPr>
          <w:rFonts w:hint="eastAsia" w:eastAsia="宋体" w:cs="Times New Roman"/>
          <w:sz w:val="21"/>
          <w:szCs w:val="21"/>
        </w:rPr>
        <w:t>6.5无论本合同其他条款是否有相反约定，乙方对因本合同项下行为而导致的甲方可得利益损失、商业信誉损失以及数据丢或损坏等其他损失不承担责任。</w:t>
      </w:r>
      <w:r>
        <w:rPr>
          <w:rFonts w:hint="eastAsia" w:eastAsia="宋体" w:cs="Times New Roman"/>
          <w:sz w:val="21"/>
          <w:szCs w:val="21"/>
        </w:rPr>
        <w:br w:type="textWrapping"/>
      </w:r>
      <w:r>
        <w:rPr>
          <w:rFonts w:hint="eastAsia" w:eastAsia="宋体" w:cs="Times New Roman"/>
          <w:sz w:val="21"/>
          <w:szCs w:val="21"/>
        </w:rPr>
        <w:t>6.6本合同终止的，甲方应配合乙方做好业务清算，以及对用户的清理解释工作。</w:t>
      </w:r>
      <w:r>
        <w:rPr>
          <w:rFonts w:hint="eastAsia" w:eastAsia="宋体" w:cs="Times New Roman"/>
          <w:sz w:val="21"/>
          <w:szCs w:val="21"/>
        </w:rPr>
        <w:br w:type="textWrapping"/>
      </w:r>
      <w:r>
        <w:rPr>
          <w:rFonts w:hint="eastAsia" w:eastAsia="宋体" w:cs="Times New Roman"/>
          <w:sz w:val="21"/>
          <w:szCs w:val="21"/>
        </w:rPr>
        <w:t>第七条 协议变更、中止与解除</w:t>
      </w:r>
      <w:r>
        <w:rPr>
          <w:rFonts w:hint="eastAsia" w:eastAsia="宋体" w:cs="Times New Roman"/>
          <w:sz w:val="21"/>
          <w:szCs w:val="21"/>
        </w:rPr>
        <w:br w:type="textWrapping"/>
      </w:r>
      <w:r>
        <w:rPr>
          <w:rFonts w:hint="eastAsia" w:eastAsia="宋体" w:cs="Times New Roman"/>
          <w:sz w:val="21"/>
          <w:szCs w:val="21"/>
        </w:rPr>
        <w:t xml:space="preserve">7.1 甲方有下列情形之一的，乙方可以暂停向甲方提供本协议约定的部分或全部服务： </w:t>
      </w:r>
      <w:r>
        <w:rPr>
          <w:rFonts w:hint="eastAsia" w:eastAsia="宋体" w:cs="Times New Roman"/>
          <w:sz w:val="21"/>
          <w:szCs w:val="21"/>
        </w:rPr>
        <w:br w:type="textWrapping"/>
      </w:r>
      <w:r>
        <w:rPr>
          <w:rFonts w:hint="eastAsia" w:eastAsia="宋体" w:cs="Times New Roman"/>
          <w:sz w:val="21"/>
          <w:szCs w:val="21"/>
        </w:rPr>
        <w:t xml:space="preserve">（1）提供信息资料不真实或无效的； </w:t>
      </w:r>
      <w:r>
        <w:rPr>
          <w:rFonts w:hint="eastAsia" w:eastAsia="宋体" w:cs="Times New Roman"/>
          <w:sz w:val="21"/>
          <w:szCs w:val="21"/>
        </w:rPr>
        <w:br w:type="textWrapping"/>
      </w:r>
      <w:r>
        <w:rPr>
          <w:rFonts w:hint="eastAsia" w:eastAsia="宋体" w:cs="Times New Roman"/>
          <w:sz w:val="21"/>
          <w:szCs w:val="21"/>
        </w:rPr>
        <w:t xml:space="preserve">（2）安装未取得入网许可或可能影响网络安全、网络质量的设备及软件的； </w:t>
      </w:r>
      <w:r>
        <w:rPr>
          <w:rFonts w:hint="eastAsia" w:eastAsia="宋体" w:cs="Times New Roman"/>
          <w:sz w:val="21"/>
          <w:szCs w:val="21"/>
        </w:rPr>
        <w:br w:type="textWrapping"/>
      </w:r>
      <w:r>
        <w:rPr>
          <w:rFonts w:hint="eastAsia" w:eastAsia="宋体" w:cs="Times New Roman"/>
          <w:sz w:val="21"/>
          <w:szCs w:val="21"/>
        </w:rPr>
        <w:t>（3）未办理相关手续，自行改变</w:t>
      </w:r>
      <w:r>
        <w:rPr>
          <w:rFonts w:hint="eastAsia" w:eastAsia="宋体" w:cs="Times New Roman"/>
          <w:sz w:val="21"/>
          <w:szCs w:val="21"/>
          <w:lang w:eastAsia="zh-CN"/>
        </w:rPr>
        <w:t>运营商</w:t>
      </w:r>
      <w:r>
        <w:rPr>
          <w:rFonts w:hint="eastAsia" w:eastAsia="宋体" w:cs="Times New Roman"/>
          <w:sz w:val="21"/>
          <w:szCs w:val="21"/>
        </w:rPr>
        <w:t xml:space="preserve">业务使用性质的； </w:t>
      </w:r>
      <w:r>
        <w:rPr>
          <w:rFonts w:hint="eastAsia" w:eastAsia="宋体" w:cs="Times New Roman"/>
          <w:sz w:val="21"/>
          <w:szCs w:val="21"/>
        </w:rPr>
        <w:br w:type="textWrapping"/>
      </w:r>
      <w:r>
        <w:rPr>
          <w:rFonts w:hint="eastAsia" w:eastAsia="宋体" w:cs="Times New Roman"/>
          <w:sz w:val="21"/>
          <w:szCs w:val="21"/>
        </w:rPr>
        <w:t>（4）迟延付款，经乙方催告后仍不履行付款义务的。</w:t>
      </w:r>
      <w:r>
        <w:rPr>
          <w:rFonts w:hint="eastAsia" w:eastAsia="宋体" w:cs="Times New Roman"/>
          <w:sz w:val="21"/>
          <w:szCs w:val="21"/>
        </w:rPr>
        <w:br w:type="textWrapping"/>
      </w:r>
      <w:r>
        <w:rPr>
          <w:rFonts w:hint="eastAsia" w:eastAsia="宋体" w:cs="Times New Roman"/>
          <w:sz w:val="21"/>
          <w:szCs w:val="21"/>
        </w:rPr>
        <w:t xml:space="preserve">7.2 甲方有下列情形之一的，乙方可以终止服务并终止本协议： </w:t>
      </w:r>
      <w:r>
        <w:rPr>
          <w:rFonts w:hint="eastAsia" w:eastAsia="宋体" w:cs="Times New Roman"/>
          <w:sz w:val="21"/>
          <w:szCs w:val="21"/>
        </w:rPr>
        <w:br w:type="textWrapping"/>
      </w:r>
      <w:r>
        <w:rPr>
          <w:rFonts w:hint="eastAsia" w:eastAsia="宋体" w:cs="Times New Roman"/>
          <w:sz w:val="21"/>
          <w:szCs w:val="21"/>
        </w:rPr>
        <w:t xml:space="preserve">（1）以担保等方式取得使用权，违反保证条款或有证据证明担保人无能力履行保证义务的； </w:t>
      </w:r>
      <w:r>
        <w:rPr>
          <w:rFonts w:hint="eastAsia" w:eastAsia="宋体" w:cs="Times New Roman"/>
          <w:sz w:val="21"/>
          <w:szCs w:val="21"/>
        </w:rPr>
        <w:br w:type="textWrapping"/>
      </w:r>
      <w:r>
        <w:rPr>
          <w:rFonts w:hint="eastAsia" w:eastAsia="宋体" w:cs="Times New Roman"/>
          <w:sz w:val="21"/>
          <w:szCs w:val="21"/>
        </w:rPr>
        <w:t>（2）擅自利用</w:t>
      </w:r>
      <w:r>
        <w:rPr>
          <w:rFonts w:hint="eastAsia" w:eastAsia="宋体" w:cs="Times New Roman"/>
          <w:sz w:val="21"/>
          <w:szCs w:val="21"/>
          <w:lang w:eastAsia="zh-CN"/>
        </w:rPr>
        <w:t>运营商</w:t>
      </w:r>
      <w:r>
        <w:rPr>
          <w:rFonts w:hint="eastAsia" w:eastAsia="宋体" w:cs="Times New Roman"/>
          <w:sz w:val="21"/>
          <w:szCs w:val="21"/>
        </w:rPr>
        <w:t>业务非法进行</w:t>
      </w:r>
      <w:r>
        <w:rPr>
          <w:rFonts w:hint="eastAsia" w:eastAsia="宋体" w:cs="Times New Roman"/>
          <w:sz w:val="21"/>
          <w:szCs w:val="21"/>
          <w:lang w:eastAsia="zh-CN"/>
        </w:rPr>
        <w:t>运营商</w:t>
      </w:r>
      <w:r>
        <w:rPr>
          <w:rFonts w:hint="eastAsia" w:eastAsia="宋体" w:cs="Times New Roman"/>
          <w:sz w:val="21"/>
          <w:szCs w:val="21"/>
        </w:rPr>
        <w:t xml:space="preserve">业务经营的； </w:t>
      </w:r>
      <w:r>
        <w:rPr>
          <w:rFonts w:hint="eastAsia" w:eastAsia="宋体" w:cs="Times New Roman"/>
          <w:sz w:val="21"/>
          <w:szCs w:val="21"/>
        </w:rPr>
        <w:br w:type="textWrapping"/>
      </w:r>
      <w:r>
        <w:rPr>
          <w:rFonts w:hint="eastAsia" w:eastAsia="宋体" w:cs="Times New Roman"/>
          <w:sz w:val="21"/>
          <w:szCs w:val="21"/>
        </w:rPr>
        <w:t>（3）利用</w:t>
      </w:r>
      <w:r>
        <w:rPr>
          <w:rFonts w:hint="eastAsia" w:eastAsia="宋体" w:cs="Times New Roman"/>
          <w:sz w:val="21"/>
          <w:szCs w:val="21"/>
          <w:lang w:eastAsia="zh-CN"/>
        </w:rPr>
        <w:t>运营商</w:t>
      </w:r>
      <w:r>
        <w:rPr>
          <w:rFonts w:hint="eastAsia" w:eastAsia="宋体" w:cs="Times New Roman"/>
          <w:sz w:val="21"/>
          <w:szCs w:val="21"/>
        </w:rPr>
        <w:t>业务从事违法行为的。</w:t>
      </w:r>
      <w:r>
        <w:rPr>
          <w:rFonts w:hint="eastAsia" w:eastAsia="宋体" w:cs="Times New Roman"/>
          <w:sz w:val="21"/>
          <w:szCs w:val="21"/>
        </w:rPr>
        <w:br w:type="textWrapping"/>
      </w:r>
      <w:r>
        <w:rPr>
          <w:rFonts w:hint="eastAsia" w:eastAsia="宋体" w:cs="Times New Roman"/>
          <w:sz w:val="21"/>
          <w:szCs w:val="21"/>
        </w:rPr>
        <w:t>7.3 乙方因技术进步或国家法律、政策变动等原因可对</w:t>
      </w:r>
      <w:r>
        <w:rPr>
          <w:rFonts w:hint="eastAsia" w:eastAsia="宋体" w:cs="Times New Roman"/>
          <w:sz w:val="21"/>
          <w:szCs w:val="21"/>
          <w:lang w:eastAsia="zh-CN"/>
        </w:rPr>
        <w:t>运营商</w:t>
      </w:r>
      <w:r>
        <w:rPr>
          <w:rFonts w:hint="eastAsia" w:eastAsia="宋体" w:cs="Times New Roman"/>
          <w:sz w:val="21"/>
          <w:szCs w:val="21"/>
        </w:rPr>
        <w:t>业务的服务内容、业务功能、操作方法、业务号码等作出调整，但调整时应提前告知客户并提供相应解决方案。</w:t>
      </w:r>
      <w:r>
        <w:rPr>
          <w:rFonts w:hint="eastAsia" w:eastAsia="宋体" w:cs="Times New Roman"/>
          <w:sz w:val="21"/>
          <w:szCs w:val="21"/>
        </w:rPr>
        <w:br w:type="textWrapping"/>
      </w:r>
      <w:r>
        <w:rPr>
          <w:rFonts w:hint="eastAsia" w:eastAsia="宋体" w:cs="Times New Roman"/>
          <w:sz w:val="21"/>
          <w:szCs w:val="21"/>
        </w:rPr>
        <w:t>7.4 乙方根据国家规定对</w:t>
      </w:r>
      <w:r>
        <w:rPr>
          <w:rFonts w:hint="eastAsia" w:eastAsia="宋体" w:cs="Times New Roman"/>
          <w:sz w:val="21"/>
          <w:szCs w:val="21"/>
          <w:lang w:eastAsia="zh-CN"/>
        </w:rPr>
        <w:t>运营商</w:t>
      </w:r>
      <w:r>
        <w:rPr>
          <w:rFonts w:hint="eastAsia" w:eastAsia="宋体" w:cs="Times New Roman"/>
          <w:sz w:val="21"/>
          <w:szCs w:val="21"/>
        </w:rPr>
        <w:t>业务服务内容进行统一变更，在合理期限内如甲方未提出异议，则应视为默认变更内容。</w:t>
      </w:r>
      <w:r>
        <w:rPr>
          <w:rFonts w:hint="eastAsia" w:eastAsia="宋体" w:cs="Times New Roman"/>
          <w:sz w:val="21"/>
          <w:szCs w:val="21"/>
        </w:rPr>
        <w:br w:type="textWrapping"/>
      </w:r>
      <w:r>
        <w:rPr>
          <w:rFonts w:hint="eastAsia" w:eastAsia="宋体" w:cs="Times New Roman"/>
          <w:sz w:val="21"/>
          <w:szCs w:val="21"/>
        </w:rPr>
        <w:t>7.5 乙方可以采用电话、广播、短信、电视、公开张贴、信函、报纸、电子邮件或互联网等任一方式进行业务公告及业务通知，此通知方式同时适用于协议7.3及7.4条款告知义务。</w:t>
      </w:r>
      <w:r>
        <w:rPr>
          <w:rFonts w:hint="eastAsia" w:eastAsia="宋体" w:cs="Times New Roman"/>
          <w:sz w:val="21"/>
          <w:szCs w:val="21"/>
        </w:rPr>
        <w:br w:type="textWrapping"/>
      </w:r>
      <w:r>
        <w:rPr>
          <w:rFonts w:hint="eastAsia" w:eastAsia="宋体" w:cs="Times New Roman"/>
          <w:sz w:val="21"/>
          <w:szCs w:val="21"/>
        </w:rPr>
        <w:t>第八条法律适用和争议解决</w:t>
      </w:r>
      <w:r>
        <w:rPr>
          <w:rFonts w:hint="eastAsia" w:eastAsia="宋体" w:cs="Times New Roman"/>
          <w:sz w:val="21"/>
          <w:szCs w:val="21"/>
        </w:rPr>
        <w:br w:type="textWrapping"/>
      </w:r>
      <w:r>
        <w:rPr>
          <w:rFonts w:hint="eastAsia" w:eastAsia="宋体" w:cs="Times New Roman"/>
          <w:sz w:val="21"/>
          <w:szCs w:val="21"/>
        </w:rPr>
        <w:t>8.1本合同适用中华人民共和国法律。</w:t>
      </w:r>
      <w:r>
        <w:rPr>
          <w:rFonts w:hint="eastAsia" w:eastAsia="宋体" w:cs="Times New Roman"/>
          <w:sz w:val="21"/>
          <w:szCs w:val="21"/>
        </w:rPr>
        <w:br w:type="textWrapping"/>
      </w:r>
      <w:r>
        <w:rPr>
          <w:rFonts w:hint="eastAsia" w:eastAsia="宋体" w:cs="Times New Roman"/>
          <w:sz w:val="21"/>
          <w:szCs w:val="21"/>
        </w:rPr>
        <w:t>8.2所有因本合同引起的或与本合同有关的任何争议将通过双方友好协商解决。如果双方不能通过友好协商解决争议，则任何一方均可向甲方所在地有管辖权的人民法院起诉。</w:t>
      </w:r>
      <w:r>
        <w:rPr>
          <w:rFonts w:hint="eastAsia" w:eastAsia="宋体" w:cs="Times New Roman"/>
          <w:sz w:val="21"/>
          <w:szCs w:val="21"/>
        </w:rPr>
        <w:br w:type="textWrapping"/>
      </w:r>
      <w:r>
        <w:rPr>
          <w:rFonts w:hint="eastAsia" w:eastAsia="宋体" w:cs="Times New Roman"/>
          <w:sz w:val="21"/>
          <w:szCs w:val="21"/>
        </w:rPr>
        <w:t>8.3仲裁或诉讼进行过程中，双方将继续履行本合同未涉仲裁或诉讼的其它部分。</w:t>
      </w:r>
      <w:r>
        <w:rPr>
          <w:rFonts w:hint="eastAsia" w:eastAsia="宋体" w:cs="Times New Roman"/>
          <w:sz w:val="21"/>
          <w:szCs w:val="21"/>
        </w:rPr>
        <w:br w:type="textWrapping"/>
      </w:r>
      <w:r>
        <w:rPr>
          <w:rFonts w:hint="eastAsia" w:eastAsia="宋体" w:cs="Times New Roman"/>
          <w:sz w:val="21"/>
          <w:szCs w:val="21"/>
        </w:rPr>
        <w:t>第九条不可抗力及免责</w:t>
      </w:r>
      <w:r>
        <w:rPr>
          <w:rFonts w:hint="eastAsia" w:eastAsia="宋体" w:cs="Times New Roman"/>
          <w:sz w:val="21"/>
          <w:szCs w:val="21"/>
        </w:rPr>
        <w:br w:type="textWrapping"/>
      </w:r>
      <w:r>
        <w:rPr>
          <w:rFonts w:hint="eastAsia" w:eastAsia="宋体" w:cs="Times New Roman"/>
          <w:sz w:val="21"/>
          <w:szCs w:val="21"/>
        </w:rPr>
        <w:t>9.1如由于战争、骚乱、恐怖主义、自然灾害、国家法律法规、规章或其他规范性文件规定变动、网络安全、网络无法覆盖、停电、通信线路被人为破坏、无线信号被他人干扰等，导致甲乙双方或一方不能履行或不能完全履行本合同项下有关义务时，受影响方不承担违约责任，但应于该等情形发生后十五日内将情况书面告知对方，并提供有关部门的证明。在影响消除后的合理时间内，一方或双方应继续履行合同。如因此导致合同不能或者没有必要继续履行的，本合同可由一方解除。</w:t>
      </w:r>
      <w:r>
        <w:rPr>
          <w:rFonts w:hint="eastAsia" w:eastAsia="宋体" w:cs="Times New Roman"/>
          <w:sz w:val="21"/>
          <w:szCs w:val="21"/>
        </w:rPr>
        <w:br w:type="textWrapping"/>
      </w:r>
      <w:r>
        <w:rPr>
          <w:rFonts w:hint="eastAsia" w:eastAsia="宋体" w:cs="Times New Roman"/>
          <w:sz w:val="21"/>
          <w:szCs w:val="21"/>
        </w:rPr>
        <w:t>9.2如政府管理部门提出要求的，乙方将暂停或终止提供相应服务，且不承担任何责任，但乙方应提前通知甲方。</w:t>
      </w:r>
      <w:r>
        <w:rPr>
          <w:rFonts w:hint="eastAsia" w:eastAsia="宋体" w:cs="Times New Roman"/>
          <w:sz w:val="21"/>
          <w:szCs w:val="21"/>
        </w:rPr>
        <w:br w:type="textWrapping"/>
      </w:r>
      <w:r>
        <w:rPr>
          <w:rFonts w:hint="eastAsia" w:eastAsia="宋体" w:cs="Times New Roman"/>
          <w:sz w:val="21"/>
          <w:szCs w:val="21"/>
        </w:rPr>
        <w:t>第十条服务期限及其他</w:t>
      </w:r>
      <w:r>
        <w:rPr>
          <w:rFonts w:hint="eastAsia" w:eastAsia="宋体" w:cs="Times New Roman"/>
          <w:sz w:val="21"/>
          <w:szCs w:val="21"/>
        </w:rPr>
        <w:br w:type="textWrapping"/>
      </w:r>
      <w:r>
        <w:rPr>
          <w:rFonts w:hint="eastAsia" w:eastAsia="宋体" w:cs="Times New Roman"/>
          <w:sz w:val="21"/>
          <w:szCs w:val="21"/>
        </w:rPr>
        <w:t>10.1本合同自甲乙双方签字盖章之日起生效。本合同确定的服务期限为</w:t>
      </w:r>
      <w:r>
        <w:rPr>
          <w:rFonts w:hint="eastAsia" w:eastAsia="宋体" w:cs="Times New Roman"/>
          <w:sz w:val="21"/>
          <w:szCs w:val="21"/>
          <w:lang w:val="en-US" w:eastAsia="zh-CN"/>
        </w:rPr>
        <w:t>12</w:t>
      </w:r>
      <w:r>
        <w:rPr>
          <w:rFonts w:hint="eastAsia" w:eastAsia="宋体" w:cs="Times New Roman"/>
          <w:sz w:val="21"/>
          <w:szCs w:val="21"/>
        </w:rPr>
        <w:t xml:space="preserve"> 个月，自服务实际开通之日起计算。</w:t>
      </w:r>
      <w:r>
        <w:rPr>
          <w:rFonts w:hint="eastAsia" w:eastAsia="宋体" w:cs="Times New Roman"/>
          <w:sz w:val="21"/>
          <w:szCs w:val="21"/>
        </w:rPr>
        <w:br w:type="textWrapping"/>
      </w:r>
      <w:r>
        <w:rPr>
          <w:rFonts w:hint="eastAsia" w:eastAsia="宋体" w:cs="Times New Roman"/>
          <w:sz w:val="21"/>
          <w:szCs w:val="21"/>
        </w:rPr>
        <w:t>10.2除非任何一方在服务期届满前九十日书面通知另一方不再使用，否则服务期将自动续展，每次续展期限为12 个月，续展次数不受限制。除非双方另有约定，否则本合同内容对于续展期仍有约束力。</w:t>
      </w:r>
      <w:r>
        <w:rPr>
          <w:rFonts w:hint="eastAsia" w:eastAsia="宋体" w:cs="Times New Roman"/>
          <w:sz w:val="21"/>
          <w:szCs w:val="21"/>
        </w:rPr>
        <w:br w:type="textWrapping"/>
      </w:r>
      <w:r>
        <w:rPr>
          <w:rFonts w:hint="eastAsia" w:eastAsia="宋体" w:cs="Times New Roman"/>
          <w:sz w:val="21"/>
          <w:szCs w:val="21"/>
        </w:rPr>
        <w:t>10.3本合同一式4 份，甲乙双方各执2 份，具有同等法律效力。</w:t>
      </w:r>
      <w:r>
        <w:rPr>
          <w:rFonts w:hint="eastAsia" w:eastAsia="宋体" w:cs="Times New Roman"/>
          <w:sz w:val="21"/>
          <w:szCs w:val="21"/>
        </w:rPr>
        <w:br w:type="textWrapping"/>
      </w:r>
      <w:r>
        <w:rPr>
          <w:rFonts w:hint="eastAsia" w:eastAsia="宋体" w:cs="Times New Roman"/>
          <w:sz w:val="21"/>
          <w:szCs w:val="21"/>
        </w:rPr>
        <w:t>10.4与本合同相关的业务受理单、附件、补充合同，是本合同的有效附件，具有同等效力。</w:t>
      </w:r>
      <w:r>
        <w:rPr>
          <w:rFonts w:hint="eastAsia" w:eastAsia="宋体" w:cs="Times New Roman"/>
          <w:sz w:val="21"/>
          <w:szCs w:val="21"/>
        </w:rPr>
        <w:br w:type="textWrapping"/>
      </w:r>
      <w:r>
        <w:rPr>
          <w:rFonts w:hint="eastAsia" w:eastAsia="宋体" w:cs="Times New Roman"/>
          <w:sz w:val="21"/>
          <w:szCs w:val="21"/>
        </w:rPr>
        <w:t>10.5如果本合同的任何条款在任何时候变成不合法、无效或不可强制执行但不从根本上影响本合同的效力时，本合同的其它条款应不受影响。</w:t>
      </w:r>
      <w:r>
        <w:rPr>
          <w:rFonts w:hint="eastAsia" w:eastAsia="宋体" w:cs="Times New Roman"/>
          <w:sz w:val="21"/>
          <w:szCs w:val="21"/>
        </w:rPr>
        <w:br w:type="textWrapping"/>
      </w:r>
      <w:r>
        <w:rPr>
          <w:rFonts w:hint="eastAsia" w:eastAsia="宋体" w:cs="Times New Roman"/>
          <w:sz w:val="21"/>
          <w:szCs w:val="21"/>
        </w:rPr>
        <w:t>10.6除本合同约定外，未经甲乙双方书面确认，任何一方不得自行变更或修改本合同。</w:t>
      </w:r>
      <w:r>
        <w:rPr>
          <w:rFonts w:hint="eastAsia" w:eastAsia="宋体" w:cs="Times New Roman"/>
          <w:sz w:val="21"/>
          <w:szCs w:val="21"/>
        </w:rPr>
        <w:br w:type="textWrapping"/>
      </w:r>
      <w:r>
        <w:rPr>
          <w:rFonts w:hint="eastAsia" w:eastAsia="宋体" w:cs="Times New Roman"/>
          <w:sz w:val="21"/>
          <w:szCs w:val="21"/>
        </w:rPr>
        <w:t>10.7本合同的任何内容不应被视为或解释为双方之间具有合资、合伙、代理关系。</w:t>
      </w:r>
      <w:r>
        <w:rPr>
          <w:rFonts w:hint="eastAsia" w:eastAsia="宋体" w:cs="Times New Roman"/>
          <w:sz w:val="21"/>
          <w:szCs w:val="21"/>
        </w:rPr>
        <w:br w:type="textWrapping"/>
      </w:r>
      <w:r>
        <w:rPr>
          <w:rFonts w:hint="eastAsia" w:eastAsia="宋体" w:cs="Times New Roman"/>
          <w:sz w:val="21"/>
          <w:szCs w:val="21"/>
        </w:rPr>
        <w:t>10.8本合同替代此前双方所有关于本合同事项的口头或书面的纪要、备忘录、协议、合同。</w:t>
      </w:r>
      <w:r>
        <w:rPr>
          <w:rFonts w:hint="eastAsia" w:eastAsia="宋体" w:cs="Times New Roman"/>
          <w:sz w:val="21"/>
          <w:szCs w:val="21"/>
        </w:rPr>
        <w:br w:type="textWrapping"/>
      </w:r>
      <w:r>
        <w:rPr>
          <w:rFonts w:hint="eastAsia" w:eastAsia="宋体" w:cs="Times New Roman"/>
          <w:sz w:val="21"/>
          <w:szCs w:val="21"/>
        </w:rPr>
        <w:t>10.9</w:t>
      </w:r>
      <w:r>
        <w:rPr>
          <w:rFonts w:hint="eastAsia" w:eastAsia="宋体" w:cs="Times New Roman"/>
          <w:sz w:val="21"/>
          <w:szCs w:val="21"/>
          <w:lang w:eastAsia="zh-CN"/>
        </w:rPr>
        <w:t>运营商</w:t>
      </w:r>
      <w:r>
        <w:rPr>
          <w:rFonts w:hint="eastAsia" w:eastAsia="宋体" w:cs="Times New Roman"/>
          <w:sz w:val="21"/>
          <w:szCs w:val="21"/>
        </w:rPr>
        <w:t>业务术语以乙方业务受理单内容为准。</w:t>
      </w:r>
      <w:r>
        <w:rPr>
          <w:rFonts w:hint="eastAsia" w:eastAsia="宋体" w:cs="Times New Roman"/>
          <w:sz w:val="21"/>
          <w:szCs w:val="21"/>
        </w:rPr>
        <w:br w:type="textWrapping"/>
      </w:r>
      <w:r>
        <w:rPr>
          <w:rFonts w:hint="eastAsia" w:eastAsia="宋体" w:cs="Times New Roman"/>
          <w:sz w:val="21"/>
          <w:szCs w:val="21"/>
        </w:rPr>
        <w:t>10.10未尽事宜，双方协商解决。</w:t>
      </w:r>
    </w:p>
    <w:p w14:paraId="3904C185">
      <w:pPr>
        <w:pStyle w:val="14"/>
        <w:widowControl/>
        <w:spacing w:line="578" w:lineRule="exact"/>
        <w:rPr>
          <w:rFonts w:hint="eastAsia" w:eastAsia="宋体" w:cs="Times New Roman"/>
          <w:sz w:val="21"/>
          <w:szCs w:val="21"/>
          <w:lang w:eastAsia="zh-CN"/>
        </w:rPr>
      </w:pPr>
      <w:r>
        <w:rPr>
          <w:rFonts w:hint="eastAsia" w:eastAsia="宋体" w:cs="Times New Roman"/>
          <w:sz w:val="21"/>
          <w:szCs w:val="21"/>
        </w:rPr>
        <w:t xml:space="preserve">甲方： </w:t>
      </w:r>
      <w:r>
        <w:rPr>
          <w:rFonts w:hint="eastAsia" w:eastAsia="宋体" w:cs="Times New Roman"/>
          <w:sz w:val="21"/>
          <w:szCs w:val="21"/>
          <w:lang w:val="en-US" w:eastAsia="zh-CN"/>
        </w:rPr>
        <w:t>泰州高港港务</w:t>
      </w:r>
      <w:r>
        <w:rPr>
          <w:rFonts w:hint="eastAsia" w:eastAsia="宋体" w:cs="Times New Roman"/>
          <w:sz w:val="21"/>
          <w:szCs w:val="21"/>
          <w:lang w:eastAsia="zh-CN"/>
        </w:rPr>
        <w:t>有限公司</w:t>
      </w:r>
    </w:p>
    <w:p w14:paraId="43201CBB">
      <w:pPr>
        <w:pStyle w:val="14"/>
        <w:widowControl/>
        <w:spacing w:line="578" w:lineRule="exact"/>
        <w:rPr>
          <w:rFonts w:hint="eastAsia" w:eastAsia="宋体" w:cs="Times New Roman"/>
          <w:sz w:val="21"/>
          <w:szCs w:val="21"/>
        </w:rPr>
      </w:pPr>
      <w:r>
        <w:rPr>
          <w:rFonts w:hint="eastAsia" w:eastAsia="宋体" w:cs="Times New Roman"/>
          <w:sz w:val="21"/>
          <w:szCs w:val="21"/>
        </w:rPr>
        <w:t>负责人或授权代表：</w:t>
      </w:r>
      <w:r>
        <w:rPr>
          <w:rFonts w:hint="eastAsia" w:eastAsia="宋体" w:cs="Times New Roman"/>
          <w:sz w:val="21"/>
          <w:szCs w:val="21"/>
        </w:rPr>
        <w:br w:type="textWrapping"/>
      </w:r>
      <w:r>
        <w:rPr>
          <w:rFonts w:hint="eastAsia" w:eastAsia="宋体" w:cs="Times New Roman"/>
          <w:sz w:val="21"/>
          <w:szCs w:val="21"/>
        </w:rPr>
        <w:t>日期：</w:t>
      </w:r>
      <w:r>
        <w:rPr>
          <w:rFonts w:hint="eastAsia" w:eastAsia="宋体" w:cs="Times New Roman"/>
          <w:sz w:val="21"/>
          <w:szCs w:val="21"/>
        </w:rPr>
        <w:br w:type="textWrapping"/>
      </w:r>
      <w:r>
        <w:rPr>
          <w:rFonts w:hint="eastAsia" w:eastAsia="宋体" w:cs="Times New Roman"/>
          <w:sz w:val="21"/>
          <w:szCs w:val="21"/>
        </w:rPr>
        <w:t xml:space="preserve">乙方： </w:t>
      </w:r>
      <w:r>
        <w:rPr>
          <w:rFonts w:hint="eastAsia" w:eastAsia="宋体" w:cs="Times New Roman"/>
          <w:sz w:val="21"/>
          <w:szCs w:val="21"/>
        </w:rPr>
        <w:br w:type="textWrapping"/>
      </w:r>
      <w:r>
        <w:rPr>
          <w:rFonts w:hint="eastAsia" w:eastAsia="宋体" w:cs="Times New Roman"/>
          <w:sz w:val="21"/>
          <w:szCs w:val="21"/>
        </w:rPr>
        <w:t>负责人或授权代表：</w:t>
      </w:r>
      <w:r>
        <w:rPr>
          <w:rFonts w:hint="eastAsia" w:eastAsia="宋体" w:cs="Times New Roman"/>
          <w:sz w:val="21"/>
          <w:szCs w:val="21"/>
        </w:rPr>
        <w:br w:type="textWrapping"/>
      </w:r>
      <w:r>
        <w:rPr>
          <w:rFonts w:hint="eastAsia" w:eastAsia="宋体" w:cs="Times New Roman"/>
          <w:sz w:val="21"/>
          <w:szCs w:val="21"/>
        </w:rPr>
        <w:t>日期：</w:t>
      </w:r>
    </w:p>
    <w:p w14:paraId="5170D038">
      <w:pPr>
        <w:rPr>
          <w:rFonts w:hint="eastAsia" w:ascii="宋体" w:hAnsi="宋体" w:eastAsia="宋体" w:cs="宋体"/>
          <w:sz w:val="21"/>
          <w:szCs w:val="21"/>
        </w:rPr>
      </w:pPr>
    </w:p>
    <w:p w14:paraId="309D37F0">
      <w:pPr>
        <w:pStyle w:val="2"/>
        <w:numPr>
          <w:ilvl w:val="0"/>
          <w:numId w:val="2"/>
        </w:numPr>
        <w:adjustRightInd w:val="0"/>
        <w:spacing w:before="0" w:after="0" w:line="360" w:lineRule="auto"/>
        <w:ind w:left="0" w:leftChars="0" w:firstLine="0" w:firstLineChars="0"/>
        <w:jc w:val="center"/>
        <w:rPr>
          <w:rFonts w:hint="eastAsia"/>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技术标准与要求</w:t>
      </w:r>
    </w:p>
    <w:p w14:paraId="5EC1C543">
      <w:pPr>
        <w:pStyle w:val="2"/>
        <w:numPr>
          <w:ilvl w:val="0"/>
          <w:numId w:val="0"/>
        </w:numPr>
        <w:adjustRightInd w:val="0"/>
        <w:spacing w:before="0" w:after="0" w:line="360" w:lineRule="auto"/>
        <w:ind w:leftChars="0"/>
        <w:jc w:val="both"/>
        <w:rPr>
          <w:rFonts w:hint="default"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1.基本要求：为保证泰州高港港区监控数据顺利传输至扬州港集团，要求网络专线的带宽设置为300兆，并确保能在低延时、高数据准确率的情况下进行跨市点对点传输数据。</w:t>
      </w:r>
    </w:p>
    <w:p w14:paraId="2FC6EE7A">
      <w:pPr>
        <w:rPr>
          <w:color w:val="000000" w:themeColor="text1"/>
          <w:sz w:val="36"/>
          <w:szCs w:val="36"/>
          <w:highlight w:val="none"/>
          <w14:textFill>
            <w14:solidFill>
              <w14:schemeClr w14:val="tx1"/>
            </w14:solidFill>
          </w14:textFill>
        </w:rPr>
      </w:pPr>
    </w:p>
    <w:p w14:paraId="63B1F656">
      <w:pPr>
        <w:rPr>
          <w:color w:val="000000" w:themeColor="text1"/>
          <w:sz w:val="36"/>
          <w:szCs w:val="36"/>
          <w:highlight w:val="none"/>
          <w14:textFill>
            <w14:solidFill>
              <w14:schemeClr w14:val="tx1"/>
            </w14:solidFill>
          </w14:textFill>
        </w:rPr>
      </w:pPr>
    </w:p>
    <w:p w14:paraId="069AE8B2">
      <w:pPr>
        <w:rPr>
          <w:color w:val="000000" w:themeColor="text1"/>
          <w:sz w:val="36"/>
          <w:szCs w:val="36"/>
          <w:highlight w:val="none"/>
          <w14:textFill>
            <w14:solidFill>
              <w14:schemeClr w14:val="tx1"/>
            </w14:solidFill>
          </w14:textFill>
        </w:rPr>
      </w:pPr>
    </w:p>
    <w:p w14:paraId="00FA4038">
      <w:pPr>
        <w:rPr>
          <w:color w:val="000000" w:themeColor="text1"/>
          <w:sz w:val="36"/>
          <w:szCs w:val="36"/>
          <w:highlight w:val="none"/>
          <w14:textFill>
            <w14:solidFill>
              <w14:schemeClr w14:val="tx1"/>
            </w14:solidFill>
          </w14:textFill>
        </w:rPr>
      </w:pPr>
    </w:p>
    <w:p w14:paraId="206233BA">
      <w:pPr>
        <w:rPr>
          <w:color w:val="000000" w:themeColor="text1"/>
          <w:sz w:val="36"/>
          <w:szCs w:val="36"/>
          <w:highlight w:val="none"/>
          <w14:textFill>
            <w14:solidFill>
              <w14:schemeClr w14:val="tx1"/>
            </w14:solidFill>
          </w14:textFill>
        </w:rPr>
      </w:pPr>
    </w:p>
    <w:p w14:paraId="0D87E13F">
      <w:pPr>
        <w:rPr>
          <w:color w:val="000000" w:themeColor="text1"/>
          <w:sz w:val="36"/>
          <w:szCs w:val="36"/>
          <w:highlight w:val="none"/>
          <w14:textFill>
            <w14:solidFill>
              <w14:schemeClr w14:val="tx1"/>
            </w14:solidFill>
          </w14:textFill>
        </w:rPr>
      </w:pPr>
    </w:p>
    <w:p w14:paraId="32ADFD3A">
      <w:pPr>
        <w:rPr>
          <w:color w:val="000000" w:themeColor="text1"/>
          <w:sz w:val="36"/>
          <w:szCs w:val="36"/>
          <w:highlight w:val="none"/>
          <w14:textFill>
            <w14:solidFill>
              <w14:schemeClr w14:val="tx1"/>
            </w14:solidFill>
          </w14:textFill>
        </w:rPr>
      </w:pPr>
    </w:p>
    <w:p w14:paraId="2949211A">
      <w:pPr>
        <w:rPr>
          <w:color w:val="000000" w:themeColor="text1"/>
          <w:sz w:val="36"/>
          <w:szCs w:val="36"/>
          <w:highlight w:val="none"/>
          <w14:textFill>
            <w14:solidFill>
              <w14:schemeClr w14:val="tx1"/>
            </w14:solidFill>
          </w14:textFill>
        </w:rPr>
      </w:pPr>
    </w:p>
    <w:p w14:paraId="361DA041">
      <w:pPr>
        <w:rPr>
          <w:color w:val="000000" w:themeColor="text1"/>
          <w:sz w:val="36"/>
          <w:szCs w:val="36"/>
          <w:highlight w:val="none"/>
          <w14:textFill>
            <w14:solidFill>
              <w14:schemeClr w14:val="tx1"/>
            </w14:solidFill>
          </w14:textFill>
        </w:rPr>
      </w:pPr>
    </w:p>
    <w:p w14:paraId="37E10CE2">
      <w:pPr>
        <w:rPr>
          <w:color w:val="000000" w:themeColor="text1"/>
          <w:sz w:val="36"/>
          <w:szCs w:val="36"/>
          <w:highlight w:val="none"/>
          <w14:textFill>
            <w14:solidFill>
              <w14:schemeClr w14:val="tx1"/>
            </w14:solidFill>
          </w14:textFill>
        </w:rPr>
      </w:pPr>
    </w:p>
    <w:p w14:paraId="5BC2AA76">
      <w:pPr>
        <w:rPr>
          <w:color w:val="000000" w:themeColor="text1"/>
          <w:sz w:val="36"/>
          <w:szCs w:val="36"/>
          <w:highlight w:val="none"/>
          <w14:textFill>
            <w14:solidFill>
              <w14:schemeClr w14:val="tx1"/>
            </w14:solidFill>
          </w14:textFill>
        </w:rPr>
      </w:pPr>
    </w:p>
    <w:p w14:paraId="597CF3C6">
      <w:pPr>
        <w:rPr>
          <w:color w:val="000000" w:themeColor="text1"/>
          <w:sz w:val="36"/>
          <w:szCs w:val="36"/>
          <w:highlight w:val="none"/>
          <w14:textFill>
            <w14:solidFill>
              <w14:schemeClr w14:val="tx1"/>
            </w14:solidFill>
          </w14:textFill>
        </w:rPr>
      </w:pPr>
    </w:p>
    <w:p w14:paraId="769E6641">
      <w:pPr>
        <w:rPr>
          <w:color w:val="000000" w:themeColor="text1"/>
          <w:sz w:val="36"/>
          <w:szCs w:val="36"/>
          <w:highlight w:val="none"/>
          <w14:textFill>
            <w14:solidFill>
              <w14:schemeClr w14:val="tx1"/>
            </w14:solidFill>
          </w14:textFill>
        </w:rPr>
      </w:pPr>
    </w:p>
    <w:p w14:paraId="47DC9956">
      <w:pPr>
        <w:rPr>
          <w:color w:val="000000" w:themeColor="text1"/>
          <w:sz w:val="36"/>
          <w:szCs w:val="36"/>
          <w:highlight w:val="none"/>
          <w14:textFill>
            <w14:solidFill>
              <w14:schemeClr w14:val="tx1"/>
            </w14:solidFill>
          </w14:textFill>
        </w:rPr>
      </w:pPr>
    </w:p>
    <w:p w14:paraId="0E439F9E">
      <w:pPr>
        <w:rPr>
          <w:color w:val="000000" w:themeColor="text1"/>
          <w:sz w:val="36"/>
          <w:szCs w:val="36"/>
          <w:highlight w:val="none"/>
          <w14:textFill>
            <w14:solidFill>
              <w14:schemeClr w14:val="tx1"/>
            </w14:solidFill>
          </w14:textFill>
        </w:rPr>
      </w:pPr>
    </w:p>
    <w:p w14:paraId="18FCF60C">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6CC4E5BA">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4D8541F3">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5ECBD5D6">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324C5988">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2D48D283">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19816BF9">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0EF5FE37">
      <w:pPr>
        <w:bidi w:val="0"/>
      </w:pPr>
    </w:p>
    <w:p w14:paraId="5EC03D0B">
      <w:pPr>
        <w:pStyle w:val="3"/>
      </w:pPr>
    </w:p>
    <w:p w14:paraId="749139E5">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1E2FEBFC">
      <w:pPr>
        <w:pStyle w:val="2"/>
        <w:adjustRightInd w:val="0"/>
        <w:spacing w:before="0" w:after="0" w:line="360" w:lineRule="auto"/>
        <w:jc w:val="both"/>
        <w:rPr>
          <w:color w:val="000000" w:themeColor="text1"/>
          <w:sz w:val="36"/>
          <w:szCs w:val="36"/>
          <w:highlight w:val="none"/>
          <w14:textFill>
            <w14:solidFill>
              <w14:schemeClr w14:val="tx1"/>
            </w14:solidFill>
          </w14:textFill>
        </w:rPr>
      </w:pPr>
    </w:p>
    <w:p w14:paraId="13A7C05C"/>
    <w:p w14:paraId="5230FD9D">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0BFDA040">
      <w:pPr>
        <w:pStyle w:val="2"/>
        <w:adjustRightInd w:val="0"/>
        <w:spacing w:before="0" w:after="0" w:line="360" w:lineRule="auto"/>
        <w:jc w:val="center"/>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第</w:t>
      </w:r>
      <w:r>
        <w:rPr>
          <w:rFonts w:hint="eastAsia"/>
          <w:color w:val="000000" w:themeColor="text1"/>
          <w:sz w:val="36"/>
          <w:szCs w:val="36"/>
          <w:highlight w:val="none"/>
          <w:lang w:val="en-US" w:eastAsia="zh-CN"/>
          <w14:textFill>
            <w14:solidFill>
              <w14:schemeClr w14:val="tx1"/>
            </w14:solidFill>
          </w14:textFill>
        </w:rPr>
        <w:t>六</w:t>
      </w:r>
      <w:r>
        <w:rPr>
          <w:color w:val="000000" w:themeColor="text1"/>
          <w:sz w:val="36"/>
          <w:szCs w:val="36"/>
          <w:highlight w:val="none"/>
          <w14:textFill>
            <w14:solidFill>
              <w14:schemeClr w14:val="tx1"/>
            </w14:solidFill>
          </w14:textFill>
        </w:rPr>
        <w:t>章  响应文件格式</w:t>
      </w:r>
      <w:bookmarkEnd w:id="35"/>
      <w:bookmarkEnd w:id="36"/>
      <w:bookmarkEnd w:id="37"/>
    </w:p>
    <w:p w14:paraId="6AD74DDD">
      <w:pPr>
        <w:rPr>
          <w:color w:val="000000"/>
        </w:rPr>
      </w:pPr>
    </w:p>
    <w:p w14:paraId="5E067666">
      <w:pPr>
        <w:rPr>
          <w:color w:val="000000"/>
        </w:rPr>
      </w:pPr>
      <w:r>
        <w:rPr>
          <w:color w:val="000000"/>
        </w:rPr>
        <w:t xml:space="preserve"> </w:t>
      </w:r>
    </w:p>
    <w:p w14:paraId="08236BFC">
      <w:pPr>
        <w:pStyle w:val="5"/>
        <w:adjustRightInd w:val="0"/>
        <w:snapToGrid w:val="0"/>
        <w:spacing w:before="120" w:beforeLines="50"/>
        <w:ind w:firstLine="480" w:firstLineChars="200"/>
        <w:rPr>
          <w:color w:val="000000"/>
        </w:rPr>
      </w:pPr>
      <w:r>
        <w:rPr>
          <w:color w:val="000000"/>
        </w:rPr>
        <w:br w:type="page"/>
      </w:r>
    </w:p>
    <w:p w14:paraId="7263ED97">
      <w:pPr>
        <w:pStyle w:val="5"/>
        <w:adjustRightInd w:val="0"/>
        <w:snapToGrid w:val="0"/>
        <w:spacing w:before="120" w:beforeLines="50"/>
        <w:ind w:firstLine="480" w:firstLineChars="200"/>
        <w:rPr>
          <w:color w:val="000000"/>
        </w:rPr>
      </w:pPr>
    </w:p>
    <w:p w14:paraId="0830894C">
      <w:pPr>
        <w:pStyle w:val="5"/>
        <w:adjustRightInd w:val="0"/>
        <w:snapToGrid w:val="0"/>
        <w:spacing w:before="120" w:beforeLines="50"/>
        <w:ind w:firstLine="482" w:firstLineChars="200"/>
        <w:rPr>
          <w:b/>
          <w:color w:val="000000"/>
          <w:sz w:val="48"/>
          <w:u w:val="single"/>
        </w:rPr>
      </w:pPr>
      <w:r>
        <w:rPr>
          <w:b/>
          <w:color w:val="000000"/>
        </w:rPr>
        <w:t>　　</w:t>
      </w:r>
      <w:r>
        <w:rPr>
          <w:b/>
          <w:color w:val="000000"/>
          <w:sz w:val="48"/>
          <w:u w:val="single"/>
        </w:rPr>
        <w:t xml:space="preserve">                  </w:t>
      </w:r>
      <w:r>
        <w:rPr>
          <w:b/>
          <w:color w:val="000000"/>
          <w:sz w:val="48"/>
        </w:rPr>
        <w:t>项目询价</w:t>
      </w:r>
    </w:p>
    <w:p w14:paraId="6ACC536B">
      <w:pPr>
        <w:pStyle w:val="5"/>
        <w:adjustRightInd w:val="0"/>
        <w:snapToGrid w:val="0"/>
        <w:spacing w:before="120" w:beforeLines="50"/>
        <w:ind w:left="119"/>
        <w:jc w:val="center"/>
        <w:rPr>
          <w:color w:val="000000"/>
          <w:sz w:val="72"/>
        </w:rPr>
      </w:pPr>
    </w:p>
    <w:p w14:paraId="72DEFED3">
      <w:pPr>
        <w:pStyle w:val="5"/>
        <w:adjustRightInd w:val="0"/>
        <w:snapToGrid w:val="0"/>
        <w:spacing w:before="120" w:beforeLines="50"/>
        <w:ind w:left="119"/>
        <w:jc w:val="center"/>
        <w:rPr>
          <w:color w:val="000000"/>
          <w:sz w:val="84"/>
          <w:szCs w:val="84"/>
        </w:rPr>
      </w:pPr>
      <w:r>
        <w:rPr>
          <w:color w:val="000000"/>
          <w:sz w:val="84"/>
          <w:szCs w:val="84"/>
        </w:rPr>
        <w:t>响 应 文 件</w:t>
      </w:r>
    </w:p>
    <w:p w14:paraId="32563D5C">
      <w:pPr>
        <w:pStyle w:val="5"/>
        <w:adjustRightInd w:val="0"/>
        <w:snapToGrid w:val="0"/>
        <w:spacing w:before="120" w:beforeLines="50"/>
        <w:ind w:left="119" w:firstLine="2160" w:firstLineChars="900"/>
        <w:rPr>
          <w:color w:val="000000"/>
        </w:rPr>
      </w:pPr>
      <w:r>
        <w:rPr>
          <w:color w:val="000000"/>
        </w:rPr>
        <w:t xml:space="preserve">采购编号： </w:t>
      </w:r>
    </w:p>
    <w:p w14:paraId="541D22DF">
      <w:pPr>
        <w:pStyle w:val="5"/>
        <w:adjustRightInd w:val="0"/>
        <w:snapToGrid w:val="0"/>
        <w:spacing w:before="120" w:beforeLines="50"/>
        <w:ind w:left="119" w:firstLine="2160" w:firstLineChars="900"/>
        <w:rPr>
          <w:color w:val="000000"/>
        </w:rPr>
      </w:pPr>
    </w:p>
    <w:p w14:paraId="5328FEB0">
      <w:pPr>
        <w:pStyle w:val="5"/>
        <w:adjustRightInd w:val="0"/>
        <w:snapToGrid w:val="0"/>
        <w:spacing w:before="120" w:beforeLines="50"/>
        <w:ind w:left="119" w:firstLine="2160" w:firstLineChars="900"/>
        <w:rPr>
          <w:color w:val="000000"/>
        </w:rPr>
      </w:pPr>
    </w:p>
    <w:p w14:paraId="364E1509">
      <w:pPr>
        <w:pStyle w:val="5"/>
        <w:adjustRightInd w:val="0"/>
        <w:snapToGrid w:val="0"/>
        <w:spacing w:before="120" w:beforeLines="50"/>
        <w:ind w:left="119" w:firstLine="2160" w:firstLineChars="900"/>
        <w:rPr>
          <w:color w:val="000000"/>
        </w:rPr>
      </w:pPr>
    </w:p>
    <w:p w14:paraId="0701F4FB">
      <w:pPr>
        <w:pStyle w:val="5"/>
        <w:adjustRightInd w:val="0"/>
        <w:snapToGrid w:val="0"/>
        <w:spacing w:before="120" w:beforeLines="50"/>
        <w:ind w:left="119" w:firstLine="2160" w:firstLineChars="900"/>
        <w:rPr>
          <w:color w:val="000000"/>
        </w:rPr>
      </w:pPr>
    </w:p>
    <w:p w14:paraId="70465691">
      <w:pPr>
        <w:pStyle w:val="5"/>
        <w:adjustRightInd w:val="0"/>
        <w:snapToGrid w:val="0"/>
        <w:spacing w:before="120" w:beforeLines="50"/>
        <w:ind w:left="119" w:firstLine="2160" w:firstLineChars="900"/>
        <w:rPr>
          <w:color w:val="000000"/>
        </w:rPr>
      </w:pPr>
    </w:p>
    <w:p w14:paraId="5D53C14F">
      <w:pPr>
        <w:pStyle w:val="5"/>
        <w:adjustRightInd w:val="0"/>
        <w:snapToGrid w:val="0"/>
        <w:spacing w:before="120" w:beforeLines="50"/>
        <w:ind w:left="119" w:firstLine="2160" w:firstLineChars="900"/>
        <w:rPr>
          <w:color w:val="000000"/>
        </w:rPr>
      </w:pPr>
    </w:p>
    <w:p w14:paraId="2C44C433">
      <w:pPr>
        <w:pStyle w:val="5"/>
        <w:adjustRightInd w:val="0"/>
        <w:snapToGrid w:val="0"/>
        <w:spacing w:before="120" w:beforeLines="50"/>
        <w:ind w:left="119" w:firstLine="2160" w:firstLineChars="900"/>
        <w:rPr>
          <w:color w:val="000000"/>
        </w:rPr>
      </w:pPr>
    </w:p>
    <w:p w14:paraId="1FDBFBB4">
      <w:pPr>
        <w:pStyle w:val="5"/>
        <w:adjustRightInd w:val="0"/>
        <w:snapToGrid w:val="0"/>
        <w:spacing w:before="120" w:beforeLines="50"/>
        <w:ind w:left="119" w:firstLine="2160" w:firstLineChars="900"/>
        <w:rPr>
          <w:color w:val="000000"/>
        </w:rPr>
      </w:pPr>
    </w:p>
    <w:p w14:paraId="179CCB82">
      <w:pPr>
        <w:pStyle w:val="5"/>
        <w:adjustRightInd w:val="0"/>
        <w:snapToGrid w:val="0"/>
        <w:spacing w:before="120" w:beforeLines="50"/>
        <w:ind w:left="119" w:firstLine="2160" w:firstLineChars="900"/>
        <w:rPr>
          <w:color w:val="000000"/>
        </w:rPr>
      </w:pPr>
    </w:p>
    <w:p w14:paraId="15657788">
      <w:pPr>
        <w:pStyle w:val="5"/>
        <w:adjustRightInd w:val="0"/>
        <w:snapToGrid w:val="0"/>
        <w:spacing w:before="120" w:beforeLines="50"/>
        <w:ind w:left="119" w:firstLine="2160" w:firstLineChars="900"/>
        <w:rPr>
          <w:rFonts w:hint="eastAsia"/>
          <w:color w:val="000000"/>
        </w:rPr>
      </w:pPr>
    </w:p>
    <w:p w14:paraId="3C952D12">
      <w:pPr>
        <w:pStyle w:val="5"/>
        <w:adjustRightInd w:val="0"/>
        <w:snapToGrid w:val="0"/>
        <w:spacing w:before="120" w:beforeLines="50"/>
        <w:ind w:left="119" w:firstLine="2160" w:firstLineChars="900"/>
        <w:rPr>
          <w:color w:val="000000"/>
        </w:rPr>
      </w:pPr>
    </w:p>
    <w:p w14:paraId="3FBC13E7">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0805CA7C">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12821601">
      <w:pPr>
        <w:rPr>
          <w:color w:val="000000"/>
        </w:rPr>
      </w:pPr>
      <w:r>
        <w:rPr>
          <w:color w:val="000000"/>
        </w:rPr>
        <w:br w:type="page"/>
      </w:r>
      <w:bookmarkStart w:id="38" w:name="_Toc453162709"/>
      <w:bookmarkStart w:id="39" w:name="_Toc453162622"/>
      <w:bookmarkStart w:id="40" w:name="_Toc453079648"/>
    </w:p>
    <w:p w14:paraId="6A9327EE">
      <w:pPr>
        <w:pStyle w:val="3"/>
        <w:adjustRightInd w:val="0"/>
        <w:snapToGrid w:val="0"/>
        <w:spacing w:before="0" w:after="0" w:line="360" w:lineRule="auto"/>
        <w:jc w:val="center"/>
        <w:rPr>
          <w:rFonts w:ascii="Times New Roman" w:hAnsi="Times New Roman" w:eastAsia="宋体"/>
          <w:bCs w:val="0"/>
          <w:color w:val="000000"/>
          <w:sz w:val="21"/>
          <w:szCs w:val="21"/>
        </w:rPr>
      </w:pPr>
      <w:bookmarkStart w:id="41" w:name="_Toc1673"/>
      <w:bookmarkStart w:id="42" w:name="_Toc22501"/>
      <w:bookmarkStart w:id="43" w:name="_Toc26428"/>
      <w:r>
        <w:rPr>
          <w:rFonts w:ascii="Times New Roman" w:hAnsi="Times New Roman" w:eastAsia="宋体"/>
          <w:bCs w:val="0"/>
          <w:color w:val="000000"/>
          <w:sz w:val="21"/>
          <w:szCs w:val="21"/>
        </w:rPr>
        <w:t>一、商务部分</w:t>
      </w:r>
      <w:bookmarkEnd w:id="38"/>
      <w:bookmarkEnd w:id="39"/>
      <w:bookmarkEnd w:id="40"/>
      <w:bookmarkEnd w:id="41"/>
      <w:bookmarkEnd w:id="42"/>
      <w:bookmarkEnd w:id="43"/>
    </w:p>
    <w:p w14:paraId="2520A141">
      <w:pPr>
        <w:pStyle w:val="4"/>
        <w:adjustRightInd w:val="0"/>
        <w:snapToGrid w:val="0"/>
        <w:spacing w:before="0" w:after="0" w:line="360" w:lineRule="auto"/>
        <w:rPr>
          <w:color w:val="000000"/>
          <w:szCs w:val="21"/>
        </w:rPr>
      </w:pPr>
      <w:bookmarkStart w:id="44" w:name="_Toc144974858"/>
      <w:bookmarkStart w:id="45" w:name="_Toc247514248"/>
      <w:bookmarkStart w:id="46" w:name="_Toc152045789"/>
      <w:bookmarkStart w:id="47" w:name="_Toc300835211"/>
      <w:bookmarkStart w:id="48" w:name="_Toc247527829"/>
      <w:bookmarkStart w:id="49" w:name="_Toc152042578"/>
      <w:bookmarkStart w:id="50" w:name="_Toc453162623"/>
      <w:bookmarkStart w:id="51" w:name="_Toc453162710"/>
      <w:bookmarkStart w:id="52" w:name="_Toc30113"/>
      <w:bookmarkStart w:id="53" w:name="_Toc453079650"/>
      <w:r>
        <w:rPr>
          <w:color w:val="000000"/>
          <w:szCs w:val="21"/>
        </w:rPr>
        <w:t>（一）</w:t>
      </w:r>
      <w:bookmarkEnd w:id="44"/>
      <w:bookmarkEnd w:id="45"/>
      <w:bookmarkEnd w:id="46"/>
      <w:bookmarkEnd w:id="47"/>
      <w:bookmarkEnd w:id="48"/>
      <w:bookmarkEnd w:id="49"/>
      <w:bookmarkStart w:id="54" w:name="_Toc300835213"/>
      <w:bookmarkStart w:id="55" w:name="_Toc247514283"/>
      <w:bookmarkStart w:id="56" w:name="_Toc247527831"/>
      <w:bookmarkStart w:id="57" w:name="_Toc144974860"/>
      <w:bookmarkStart w:id="58" w:name="_Toc152042580"/>
      <w:bookmarkStart w:id="59" w:name="_Toc152045791"/>
      <w:r>
        <w:rPr>
          <w:color w:val="000000"/>
          <w:szCs w:val="21"/>
        </w:rPr>
        <w:t>响应函</w:t>
      </w:r>
      <w:bookmarkEnd w:id="50"/>
      <w:bookmarkEnd w:id="51"/>
      <w:bookmarkEnd w:id="52"/>
      <w:bookmarkEnd w:id="53"/>
    </w:p>
    <w:p w14:paraId="0519FB3F">
      <w:pPr>
        <w:adjustRightInd w:val="0"/>
        <w:snapToGrid w:val="0"/>
        <w:spacing w:line="360" w:lineRule="auto"/>
        <w:jc w:val="center"/>
        <w:rPr>
          <w:b/>
          <w:bCs/>
          <w:color w:val="000000"/>
          <w:szCs w:val="21"/>
        </w:rPr>
      </w:pPr>
      <w:r>
        <w:rPr>
          <w:b/>
          <w:bCs/>
          <w:color w:val="000000"/>
          <w:szCs w:val="21"/>
        </w:rPr>
        <w:t>响应函</w:t>
      </w:r>
    </w:p>
    <w:p w14:paraId="03205334">
      <w:pPr>
        <w:adjustRightInd w:val="0"/>
        <w:snapToGrid w:val="0"/>
        <w:spacing w:line="360" w:lineRule="auto"/>
        <w:rPr>
          <w:color w:val="000000"/>
          <w:szCs w:val="21"/>
        </w:rPr>
      </w:pPr>
      <w:r>
        <w:rPr>
          <w:color w:val="000000"/>
          <w:szCs w:val="21"/>
        </w:rPr>
        <w:t>标段名称:</w:t>
      </w:r>
    </w:p>
    <w:p w14:paraId="6E7E45F7">
      <w:pPr>
        <w:adjustRightInd w:val="0"/>
        <w:snapToGrid w:val="0"/>
        <w:spacing w:line="360" w:lineRule="auto"/>
        <w:rPr>
          <w:color w:val="000000"/>
          <w:szCs w:val="21"/>
          <w:u w:val="single"/>
        </w:rPr>
      </w:pPr>
      <w:r>
        <w:rPr>
          <w:color w:val="000000"/>
          <w:szCs w:val="21"/>
        </w:rPr>
        <w:t>标段编号：</w:t>
      </w:r>
    </w:p>
    <w:p w14:paraId="4CB50C2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color w:val="000000"/>
          <w:szCs w:val="21"/>
        </w:rPr>
        <w:t>（采购人名称）</w:t>
      </w:r>
    </w:p>
    <w:p w14:paraId="2BDC6112">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6940C215">
      <w:pPr>
        <w:adjustRightInd w:val="0"/>
        <w:snapToGrid w:val="0"/>
        <w:spacing w:line="360" w:lineRule="auto"/>
        <w:ind w:firstLine="420" w:firstLineChars="200"/>
        <w:rPr>
          <w:color w:val="000000"/>
          <w:szCs w:val="21"/>
        </w:rPr>
      </w:pPr>
      <w:r>
        <w:rPr>
          <w:color w:val="000000"/>
          <w:szCs w:val="21"/>
        </w:rPr>
        <w:t>1、我方已详细审查全部采购文件，包括采购文件的澄清资料和补充资料。我方完全理解和接受采购文件的一切规定和要求，并同意放弃对这方面有不明及误解的权力。</w:t>
      </w:r>
    </w:p>
    <w:p w14:paraId="6A067951">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477248CB">
      <w:pPr>
        <w:adjustRightInd w:val="0"/>
        <w:snapToGrid w:val="0"/>
        <w:spacing w:line="360" w:lineRule="auto"/>
        <w:ind w:firstLine="420" w:firstLineChars="200"/>
        <w:rPr>
          <w:color w:val="000000"/>
          <w:szCs w:val="21"/>
        </w:rPr>
      </w:pPr>
      <w:r>
        <w:rPr>
          <w:color w:val="000000"/>
          <w:szCs w:val="21"/>
        </w:rPr>
        <w:t>3、若我方成交，我方将按照采购文件的具体规定与采购人签订合同，并且严格履行合同义务，按时履约，为项目提供优质的服务。</w:t>
      </w:r>
    </w:p>
    <w:p w14:paraId="58788352">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 xml:space="preserve">本询价有效期满足采购文件要求。如果在规定的开启时间后，响应人在询价有效期内撤回响应文件，询价保证金将被贵方没收。 </w:t>
      </w:r>
    </w:p>
    <w:p w14:paraId="7EB4D596">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1920D7FE">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96B09B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在整个采购过程中，我方若有违规行为，贵方可按采购文件之规定给予惩罚，我方完全接受。</w:t>
      </w:r>
    </w:p>
    <w:p w14:paraId="00440FC6">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3902424C">
      <w:pPr>
        <w:adjustRightInd w:val="0"/>
        <w:snapToGrid w:val="0"/>
        <w:spacing w:line="360" w:lineRule="auto"/>
        <w:ind w:firstLine="420" w:firstLineChars="200"/>
        <w:rPr>
          <w:color w:val="000000"/>
          <w:szCs w:val="21"/>
        </w:rPr>
      </w:pPr>
    </w:p>
    <w:p w14:paraId="153AFF45">
      <w:pPr>
        <w:adjustRightInd w:val="0"/>
        <w:snapToGrid w:val="0"/>
        <w:spacing w:line="360" w:lineRule="auto"/>
        <w:ind w:firstLine="420" w:firstLineChars="200"/>
        <w:rPr>
          <w:color w:val="000000"/>
          <w:szCs w:val="21"/>
        </w:rPr>
      </w:pPr>
    </w:p>
    <w:p w14:paraId="69ADE20F">
      <w:pPr>
        <w:adjustRightInd w:val="0"/>
        <w:snapToGrid w:val="0"/>
        <w:spacing w:line="360" w:lineRule="auto"/>
        <w:ind w:firstLine="420" w:firstLineChars="200"/>
        <w:rPr>
          <w:color w:val="000000"/>
          <w:szCs w:val="21"/>
        </w:rPr>
      </w:pPr>
    </w:p>
    <w:p w14:paraId="5D256AD3">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02A6EBF3">
      <w:pPr>
        <w:adjustRightInd w:val="0"/>
        <w:snapToGrid w:val="0"/>
        <w:spacing w:line="360" w:lineRule="auto"/>
        <w:ind w:right="135"/>
        <w:jc w:val="right"/>
        <w:rPr>
          <w:color w:val="000000"/>
          <w:szCs w:val="21"/>
        </w:rPr>
      </w:pPr>
    </w:p>
    <w:p w14:paraId="000D0EE9">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65BC1B5C">
      <w:pPr>
        <w:widowControl/>
        <w:adjustRightInd w:val="0"/>
        <w:snapToGrid w:val="0"/>
        <w:spacing w:line="360" w:lineRule="auto"/>
        <w:jc w:val="left"/>
        <w:rPr>
          <w:color w:val="000000"/>
          <w:szCs w:val="21"/>
        </w:rPr>
      </w:pPr>
      <w:r>
        <w:rPr>
          <w:color w:val="000000"/>
          <w:szCs w:val="21"/>
        </w:rPr>
        <w:br w:type="page"/>
      </w:r>
    </w:p>
    <w:p w14:paraId="370485FD">
      <w:pPr>
        <w:widowControl/>
        <w:adjustRightInd w:val="0"/>
        <w:snapToGrid w:val="0"/>
        <w:spacing w:line="360" w:lineRule="auto"/>
        <w:jc w:val="left"/>
        <w:rPr>
          <w:color w:val="000000"/>
          <w:szCs w:val="21"/>
        </w:rPr>
      </w:pPr>
    </w:p>
    <w:bookmarkEnd w:id="54"/>
    <w:bookmarkEnd w:id="55"/>
    <w:bookmarkEnd w:id="56"/>
    <w:bookmarkEnd w:id="57"/>
    <w:bookmarkEnd w:id="58"/>
    <w:bookmarkEnd w:id="59"/>
    <w:p w14:paraId="7FF0ED6A">
      <w:pPr>
        <w:pStyle w:val="4"/>
        <w:adjustRightInd w:val="0"/>
        <w:snapToGrid w:val="0"/>
        <w:spacing w:before="0" w:after="0" w:line="360" w:lineRule="auto"/>
        <w:rPr>
          <w:color w:val="000000"/>
          <w:szCs w:val="21"/>
        </w:rPr>
      </w:pPr>
      <w:bookmarkStart w:id="60" w:name="_Toc453162711"/>
      <w:bookmarkStart w:id="61" w:name="_Toc453162624"/>
      <w:bookmarkStart w:id="62" w:name="_Toc517536848"/>
      <w:bookmarkStart w:id="63" w:name="_Toc32231"/>
      <w:bookmarkStart w:id="64" w:name="_Toc453079651"/>
      <w:r>
        <w:rPr>
          <w:color w:val="000000"/>
          <w:szCs w:val="21"/>
        </w:rPr>
        <w:t>（二）法定代表人身份证明</w:t>
      </w:r>
      <w:bookmarkEnd w:id="60"/>
      <w:bookmarkEnd w:id="61"/>
      <w:bookmarkEnd w:id="62"/>
      <w:bookmarkEnd w:id="63"/>
      <w:bookmarkEnd w:id="64"/>
    </w:p>
    <w:p w14:paraId="279E9D61">
      <w:pPr>
        <w:adjustRightInd w:val="0"/>
        <w:snapToGrid w:val="0"/>
        <w:spacing w:line="360" w:lineRule="auto"/>
        <w:rPr>
          <w:color w:val="000000"/>
          <w:szCs w:val="21"/>
        </w:rPr>
      </w:pPr>
    </w:p>
    <w:p w14:paraId="17917CEA">
      <w:pPr>
        <w:adjustRightInd w:val="0"/>
        <w:snapToGrid w:val="0"/>
        <w:spacing w:line="360" w:lineRule="auto"/>
        <w:jc w:val="center"/>
        <w:rPr>
          <w:b/>
          <w:bCs/>
          <w:color w:val="000000"/>
          <w:szCs w:val="21"/>
        </w:rPr>
      </w:pPr>
      <w:r>
        <w:rPr>
          <w:b/>
          <w:bCs/>
          <w:color w:val="000000"/>
          <w:szCs w:val="21"/>
        </w:rPr>
        <w:t>法定代表人身份证明书</w:t>
      </w:r>
    </w:p>
    <w:p w14:paraId="416EFBAD">
      <w:pPr>
        <w:spacing w:line="440" w:lineRule="exact"/>
        <w:rPr>
          <w:color w:val="000000"/>
          <w:szCs w:val="21"/>
        </w:rPr>
      </w:pPr>
      <w:r>
        <w:rPr>
          <w:rFonts w:hint="eastAsia"/>
          <w:color w:val="000000"/>
          <w:szCs w:val="21"/>
        </w:rPr>
        <w:t>采购</w:t>
      </w:r>
      <w:r>
        <w:rPr>
          <w:color w:val="000000"/>
          <w:szCs w:val="21"/>
        </w:rPr>
        <w:t>人名称：</w:t>
      </w:r>
      <w:r>
        <w:rPr>
          <w:color w:val="000000"/>
          <w:szCs w:val="21"/>
          <w:u w:val="single"/>
        </w:rPr>
        <w:t xml:space="preserve">                            </w:t>
      </w:r>
      <w:r>
        <w:rPr>
          <w:color w:val="000000"/>
          <w:szCs w:val="21"/>
        </w:rPr>
        <w:t xml:space="preserve"> </w:t>
      </w:r>
    </w:p>
    <w:p w14:paraId="24645818">
      <w:pPr>
        <w:spacing w:line="440" w:lineRule="exact"/>
        <w:ind w:firstLine="420" w:firstLineChars="200"/>
        <w:rPr>
          <w:color w:val="000000"/>
          <w:szCs w:val="21"/>
        </w:rPr>
      </w:pPr>
      <w:r>
        <w:rPr>
          <w:color w:val="000000"/>
          <w:szCs w:val="21"/>
        </w:rPr>
        <w:t>姓名：</w:t>
      </w:r>
      <w:r>
        <w:rPr>
          <w:color w:val="000000"/>
          <w:szCs w:val="21"/>
          <w:u w:val="single"/>
        </w:rPr>
        <w:t xml:space="preserve">  </w:t>
      </w:r>
      <w:r>
        <w:rPr>
          <w:rFonts w:hint="eastAsia"/>
          <w:bCs/>
          <w:color w:val="000000"/>
          <w:szCs w:val="21"/>
          <w:u w:val="single"/>
        </w:rPr>
        <w:t xml:space="preserve"> </w:t>
      </w:r>
      <w:r>
        <w:rPr>
          <w:color w:val="000000"/>
          <w:szCs w:val="21"/>
          <w:u w:val="single"/>
        </w:rPr>
        <w:t xml:space="preserve"> </w:t>
      </w:r>
      <w:r>
        <w:rPr>
          <w:color w:val="000000"/>
          <w:szCs w:val="21"/>
        </w:rPr>
        <w:t xml:space="preserve"> 性别：</w:t>
      </w:r>
      <w:r>
        <w:rPr>
          <w:color w:val="000000"/>
          <w:szCs w:val="21"/>
          <w:u w:val="single"/>
        </w:rPr>
        <w:t xml:space="preserve">     </w:t>
      </w:r>
      <w:r>
        <w:rPr>
          <w:color w:val="000000"/>
          <w:szCs w:val="21"/>
        </w:rPr>
        <w:t xml:space="preserve"> 年龄：</w:t>
      </w:r>
      <w:r>
        <w:rPr>
          <w:color w:val="000000"/>
          <w:szCs w:val="21"/>
          <w:u w:val="single"/>
        </w:rPr>
        <w:t xml:space="preserve">        </w:t>
      </w:r>
      <w:r>
        <w:rPr>
          <w:color w:val="000000"/>
          <w:szCs w:val="21"/>
        </w:rPr>
        <w:t>职务：</w:t>
      </w:r>
      <w:r>
        <w:rPr>
          <w:color w:val="000000"/>
          <w:szCs w:val="21"/>
          <w:u w:val="single"/>
        </w:rPr>
        <w:t xml:space="preserve">        </w:t>
      </w:r>
    </w:p>
    <w:p w14:paraId="339B2BAC">
      <w:pPr>
        <w:spacing w:line="440" w:lineRule="exact"/>
        <w:rPr>
          <w:color w:val="000000"/>
          <w:szCs w:val="21"/>
        </w:rPr>
      </w:pPr>
      <w:r>
        <w:rPr>
          <w:color w:val="000000"/>
          <w:szCs w:val="21"/>
        </w:rPr>
        <w:t>系</w:t>
      </w:r>
      <w:r>
        <w:rPr>
          <w:color w:val="000000"/>
          <w:szCs w:val="21"/>
          <w:u w:val="single"/>
        </w:rPr>
        <w:t xml:space="preserve">                             </w:t>
      </w:r>
      <w:r>
        <w:rPr>
          <w:color w:val="000000"/>
          <w:szCs w:val="21"/>
        </w:rPr>
        <w:t xml:space="preserve"> （</w:t>
      </w:r>
      <w:r>
        <w:rPr>
          <w:rFonts w:hint="eastAsia"/>
          <w:color w:val="000000"/>
          <w:szCs w:val="21"/>
        </w:rPr>
        <w:t>响应人</w:t>
      </w:r>
      <w:r>
        <w:rPr>
          <w:color w:val="000000"/>
          <w:szCs w:val="21"/>
        </w:rPr>
        <w:t>名称）的法定代表人。</w:t>
      </w:r>
    </w:p>
    <w:p w14:paraId="01B47E12">
      <w:pPr>
        <w:spacing w:line="440" w:lineRule="exact"/>
        <w:ind w:firstLine="420" w:firstLineChars="200"/>
        <w:rPr>
          <w:color w:val="000000"/>
          <w:szCs w:val="21"/>
        </w:rPr>
      </w:pPr>
      <w:r>
        <w:rPr>
          <w:color w:val="000000"/>
          <w:szCs w:val="21"/>
        </w:rPr>
        <w:t>特此证明。</w:t>
      </w:r>
    </w:p>
    <w:p w14:paraId="7D24AAEF">
      <w:pPr>
        <w:spacing w:line="440" w:lineRule="exact"/>
        <w:rPr>
          <w:color w:val="000000"/>
          <w:szCs w:val="21"/>
        </w:rPr>
      </w:pPr>
    </w:p>
    <w:p w14:paraId="0D1689C5">
      <w:pPr>
        <w:spacing w:line="440" w:lineRule="exact"/>
        <w:rPr>
          <w:color w:val="000000"/>
          <w:szCs w:val="21"/>
        </w:rPr>
      </w:pPr>
      <w:r>
        <w:rPr>
          <w:color w:val="000000"/>
          <w:szCs w:val="21"/>
        </w:rPr>
        <w:t>附：法定代表人身份证复印件。</w:t>
      </w:r>
    </w:p>
    <w:p w14:paraId="2334599C">
      <w:pPr>
        <w:adjustRightInd w:val="0"/>
        <w:snapToGrid w:val="0"/>
        <w:spacing w:line="360" w:lineRule="auto"/>
        <w:rPr>
          <w:color w:val="000000"/>
          <w:szCs w:val="21"/>
        </w:rPr>
      </w:pPr>
    </w:p>
    <w:p w14:paraId="59AD4EFD">
      <w:pPr>
        <w:adjustRightInd w:val="0"/>
        <w:snapToGrid w:val="0"/>
        <w:spacing w:line="360" w:lineRule="auto"/>
        <w:rPr>
          <w:color w:val="000000"/>
          <w:szCs w:val="21"/>
        </w:rPr>
      </w:pPr>
      <w:r>
        <w:rPr>
          <w:color w:val="000000"/>
          <w:szCs w:val="21"/>
        </w:rPr>
        <w:t xml:space="preserve">                          响应人：</w:t>
      </w:r>
      <w:r>
        <w:rPr>
          <w:color w:val="000000"/>
          <w:szCs w:val="21"/>
          <w:u w:val="single"/>
        </w:rPr>
        <w:t xml:space="preserve">                 </w:t>
      </w:r>
      <w:r>
        <w:rPr>
          <w:color w:val="000000"/>
          <w:szCs w:val="21"/>
        </w:rPr>
        <w:t>（盖章）</w:t>
      </w:r>
    </w:p>
    <w:p w14:paraId="4022748F">
      <w:pPr>
        <w:adjustRightInd w:val="0"/>
        <w:snapToGrid w:val="0"/>
        <w:spacing w:line="360" w:lineRule="auto"/>
        <w:rPr>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           </w:t>
      </w:r>
    </w:p>
    <w:p w14:paraId="41ED4C60">
      <w:pPr>
        <w:adjustRightInd w:val="0"/>
        <w:snapToGrid w:val="0"/>
        <w:spacing w:line="360" w:lineRule="auto"/>
        <w:jc w:val="center"/>
        <w:rPr>
          <w:color w:val="000000"/>
          <w:szCs w:val="21"/>
        </w:rPr>
      </w:pPr>
      <w:r>
        <w:rPr>
          <w:color w:val="000000"/>
          <w:szCs w:val="21"/>
        </w:rPr>
        <w:br w:type="page"/>
      </w:r>
    </w:p>
    <w:p w14:paraId="79EEAACE">
      <w:pPr>
        <w:pStyle w:val="4"/>
        <w:adjustRightInd w:val="0"/>
        <w:snapToGrid w:val="0"/>
        <w:spacing w:before="0" w:after="0" w:line="360" w:lineRule="auto"/>
        <w:rPr>
          <w:color w:val="000000"/>
          <w:szCs w:val="21"/>
        </w:rPr>
      </w:pPr>
      <w:bookmarkStart w:id="65" w:name="_Toc453079652"/>
      <w:bookmarkStart w:id="66" w:name="_Toc453162712"/>
      <w:bookmarkStart w:id="67" w:name="_Toc3088"/>
      <w:bookmarkStart w:id="68" w:name="_Toc453162625"/>
      <w:bookmarkStart w:id="69" w:name="_Toc517536849"/>
      <w:bookmarkStart w:id="70" w:name="_Toc247527832"/>
      <w:bookmarkStart w:id="71" w:name="_Toc300835214"/>
      <w:bookmarkStart w:id="72" w:name="_Toc152045792"/>
      <w:bookmarkStart w:id="73" w:name="_Toc152042581"/>
      <w:bookmarkStart w:id="74" w:name="_Toc247514284"/>
      <w:bookmarkStart w:id="75" w:name="_Toc144974861"/>
      <w:r>
        <w:rPr>
          <w:color w:val="000000"/>
          <w:szCs w:val="21"/>
        </w:rPr>
        <w:t>（三）法定代表人授权委托书</w:t>
      </w:r>
      <w:bookmarkEnd w:id="65"/>
      <w:bookmarkEnd w:id="66"/>
      <w:bookmarkEnd w:id="67"/>
      <w:bookmarkEnd w:id="68"/>
      <w:bookmarkEnd w:id="69"/>
    </w:p>
    <w:p w14:paraId="56FBC542">
      <w:pPr>
        <w:adjustRightInd w:val="0"/>
        <w:snapToGrid w:val="0"/>
        <w:spacing w:line="360" w:lineRule="auto"/>
        <w:rPr>
          <w:color w:val="000000"/>
          <w:szCs w:val="21"/>
        </w:rPr>
      </w:pPr>
    </w:p>
    <w:p w14:paraId="66BD3E32">
      <w:pPr>
        <w:adjustRightInd w:val="0"/>
        <w:snapToGrid w:val="0"/>
        <w:spacing w:line="360" w:lineRule="auto"/>
        <w:jc w:val="center"/>
        <w:rPr>
          <w:b/>
          <w:bCs/>
          <w:color w:val="000000"/>
          <w:szCs w:val="21"/>
        </w:rPr>
      </w:pPr>
      <w:r>
        <w:rPr>
          <w:b/>
          <w:bCs/>
          <w:color w:val="000000"/>
          <w:szCs w:val="21"/>
        </w:rPr>
        <w:t>授权委托书</w:t>
      </w:r>
      <w:bookmarkEnd w:id="70"/>
      <w:bookmarkEnd w:id="71"/>
      <w:bookmarkEnd w:id="72"/>
      <w:bookmarkEnd w:id="73"/>
      <w:bookmarkEnd w:id="74"/>
      <w:bookmarkEnd w:id="75"/>
    </w:p>
    <w:p w14:paraId="5EBB77CD">
      <w:pPr>
        <w:topLinePunct/>
        <w:spacing w:line="440" w:lineRule="exact"/>
        <w:ind w:firstLine="420" w:firstLineChars="200"/>
        <w:rPr>
          <w:rFonts w:hint="eastAsia" w:eastAsia="宋体"/>
          <w:color w:val="000000"/>
          <w:szCs w:val="21"/>
          <w:u w:val="single"/>
          <w:lang w:eastAsia="zh-CN"/>
        </w:rPr>
      </w:pPr>
      <w:r>
        <w:rPr>
          <w:color w:val="000000"/>
          <w:szCs w:val="21"/>
        </w:rPr>
        <w:t>本人</w:t>
      </w:r>
      <w:r>
        <w:rPr>
          <w:color w:val="000000"/>
          <w:szCs w:val="21"/>
          <w:u w:val="single"/>
        </w:rPr>
        <w:t xml:space="preserve">        </w:t>
      </w:r>
      <w:r>
        <w:rPr>
          <w:color w:val="000000"/>
          <w:szCs w:val="21"/>
        </w:rPr>
        <w:t>（姓名）系</w:t>
      </w:r>
      <w:r>
        <w:rPr>
          <w:color w:val="000000"/>
          <w:szCs w:val="21"/>
          <w:u w:val="single"/>
        </w:rPr>
        <w:t xml:space="preserve">      </w:t>
      </w:r>
      <w:r>
        <w:rPr>
          <w:color w:val="000000"/>
          <w:szCs w:val="21"/>
        </w:rPr>
        <w:t>（响应人名称）的法定代表人，现委托</w:t>
      </w:r>
      <w:r>
        <w:rPr>
          <w:color w:val="000000"/>
          <w:szCs w:val="21"/>
          <w:u w:val="single"/>
        </w:rPr>
        <w:t xml:space="preserve">        </w:t>
      </w:r>
    </w:p>
    <w:p w14:paraId="40A24ED9">
      <w:pPr>
        <w:topLinePunct/>
        <w:spacing w:line="440" w:lineRule="exact"/>
        <w:ind w:firstLine="420" w:firstLineChars="200"/>
        <w:rPr>
          <w:color w:val="000000"/>
          <w:szCs w:val="21"/>
        </w:rPr>
      </w:pPr>
      <w:r>
        <w:rPr>
          <w:color w:val="000000"/>
          <w:szCs w:val="21"/>
          <w:u w:val="single"/>
        </w:rPr>
        <w:t>（姓名）</w:t>
      </w:r>
      <w:r>
        <w:rPr>
          <w:rFonts w:hint="eastAsia"/>
          <w:color w:val="000000"/>
          <w:szCs w:val="21"/>
          <w:u w:val="single"/>
        </w:rPr>
        <w:t>、（身份证号）、（职务）</w:t>
      </w:r>
      <w:r>
        <w:rPr>
          <w:color w:val="000000"/>
          <w:szCs w:val="21"/>
        </w:rPr>
        <w:t>为我方代理人。代理人根据授权，以我方名义签署、澄清确认、递交、撤回、修改</w:t>
      </w:r>
      <w:r>
        <w:rPr>
          <w:color w:val="000000"/>
          <w:szCs w:val="21"/>
          <w:u w:val="single"/>
        </w:rPr>
        <w:t xml:space="preserve">                     </w:t>
      </w:r>
      <w:r>
        <w:rPr>
          <w:color w:val="000000"/>
          <w:szCs w:val="21"/>
        </w:rPr>
        <w:t>（项目名称）</w:t>
      </w:r>
      <w:r>
        <w:rPr>
          <w:color w:val="000000"/>
          <w:szCs w:val="21"/>
          <w:u w:val="single"/>
        </w:rPr>
        <w:t xml:space="preserve">    </w:t>
      </w:r>
      <w:r>
        <w:rPr>
          <w:color w:val="000000"/>
          <w:szCs w:val="21"/>
        </w:rPr>
        <w:t>标段响应文件、签订合同和处理有关事宜，其法律后果由我方承担。</w:t>
      </w:r>
    </w:p>
    <w:p w14:paraId="69F02A70">
      <w:pPr>
        <w:spacing w:line="440" w:lineRule="exact"/>
        <w:ind w:firstLine="420" w:firstLineChars="200"/>
        <w:rPr>
          <w:color w:val="000000"/>
          <w:szCs w:val="21"/>
        </w:rPr>
      </w:pPr>
      <w:r>
        <w:rPr>
          <w:color w:val="000000"/>
          <w:szCs w:val="21"/>
        </w:rPr>
        <w:t>委托期限：</w:t>
      </w:r>
      <w:r>
        <w:rPr>
          <w:color w:val="000000"/>
          <w:szCs w:val="21"/>
          <w:u w:val="single"/>
        </w:rPr>
        <w:t xml:space="preserve">                         </w:t>
      </w:r>
      <w:r>
        <w:rPr>
          <w:color w:val="000000"/>
          <w:szCs w:val="21"/>
        </w:rPr>
        <w:t>。</w:t>
      </w:r>
    </w:p>
    <w:p w14:paraId="53CBAB17">
      <w:pPr>
        <w:spacing w:line="440" w:lineRule="exact"/>
        <w:ind w:firstLine="420" w:firstLineChars="200"/>
        <w:rPr>
          <w:color w:val="000000"/>
          <w:szCs w:val="21"/>
        </w:rPr>
      </w:pPr>
      <w:r>
        <w:rPr>
          <w:color w:val="000000"/>
          <w:szCs w:val="21"/>
        </w:rPr>
        <w:t>代理人无转委托权。</w:t>
      </w:r>
    </w:p>
    <w:p w14:paraId="6050A6FD">
      <w:pPr>
        <w:spacing w:line="440" w:lineRule="exact"/>
        <w:rPr>
          <w:color w:val="000000"/>
          <w:szCs w:val="21"/>
        </w:rPr>
      </w:pPr>
    </w:p>
    <w:p w14:paraId="62516921">
      <w:pPr>
        <w:adjustRightInd w:val="0"/>
        <w:snapToGrid w:val="0"/>
        <w:spacing w:line="360" w:lineRule="auto"/>
        <w:rPr>
          <w:color w:val="000000"/>
          <w:szCs w:val="21"/>
        </w:rPr>
      </w:pPr>
      <w:r>
        <w:rPr>
          <w:color w:val="000000"/>
          <w:szCs w:val="21"/>
        </w:rPr>
        <w:t>附：法定代表人身份证复印件及委托代理人身份证复印件。</w:t>
      </w:r>
    </w:p>
    <w:p w14:paraId="7752DA8A">
      <w:pPr>
        <w:adjustRightInd w:val="0"/>
        <w:snapToGrid w:val="0"/>
        <w:spacing w:line="360" w:lineRule="auto"/>
        <w:rPr>
          <w:color w:val="000000"/>
          <w:szCs w:val="21"/>
        </w:rPr>
      </w:pPr>
    </w:p>
    <w:p w14:paraId="4592B624">
      <w:pPr>
        <w:topLinePunct/>
        <w:spacing w:line="400" w:lineRule="atLeast"/>
        <w:ind w:firstLine="2879" w:firstLineChars="1371"/>
        <w:rPr>
          <w:color w:val="000000"/>
          <w:szCs w:val="21"/>
        </w:rPr>
      </w:pPr>
      <w:r>
        <w:rPr>
          <w:rFonts w:hint="eastAsia"/>
          <w:color w:val="000000"/>
          <w:szCs w:val="21"/>
        </w:rPr>
        <w:t>响</w:t>
      </w:r>
      <w:r>
        <w:rPr>
          <w:color w:val="000000"/>
          <w:szCs w:val="21"/>
        </w:rPr>
        <w:t xml:space="preserve">  </w:t>
      </w:r>
      <w:r>
        <w:rPr>
          <w:rFonts w:hint="eastAsia"/>
          <w:color w:val="000000"/>
          <w:szCs w:val="21"/>
        </w:rPr>
        <w:t>应</w:t>
      </w:r>
      <w:r>
        <w:rPr>
          <w:color w:val="000000"/>
          <w:szCs w:val="21"/>
        </w:rPr>
        <w:t xml:space="preserve">  人：</w:t>
      </w:r>
      <w:r>
        <w:rPr>
          <w:color w:val="000000"/>
          <w:szCs w:val="21"/>
          <w:u w:val="single"/>
        </w:rPr>
        <w:t xml:space="preserve">                      </w:t>
      </w:r>
      <w:r>
        <w:rPr>
          <w:color w:val="000000"/>
          <w:szCs w:val="21"/>
        </w:rPr>
        <w:t>（盖单位章）</w:t>
      </w:r>
    </w:p>
    <w:p w14:paraId="3EC0BDDC">
      <w:pPr>
        <w:topLinePunct/>
        <w:spacing w:line="400" w:lineRule="atLeast"/>
        <w:ind w:left="418" w:leftChars="199" w:firstLine="3675" w:firstLineChars="1750"/>
        <w:jc w:val="left"/>
        <w:rPr>
          <w:color w:val="000000"/>
          <w:szCs w:val="21"/>
        </w:rPr>
      </w:pPr>
      <w:r>
        <w:rPr>
          <w:color w:val="000000"/>
          <w:szCs w:val="21"/>
          <w:u w:val="single"/>
        </w:rPr>
        <w:t xml:space="preserve">       </w:t>
      </w:r>
      <w:r>
        <w:rPr>
          <w:color w:val="000000"/>
          <w:szCs w:val="21"/>
        </w:rPr>
        <w:t xml:space="preserve">年 </w:t>
      </w:r>
      <w:r>
        <w:rPr>
          <w:color w:val="000000"/>
          <w:szCs w:val="21"/>
          <w:u w:val="single"/>
        </w:rPr>
        <w:t xml:space="preserve">        </w:t>
      </w:r>
      <w:r>
        <w:rPr>
          <w:color w:val="000000"/>
          <w:szCs w:val="21"/>
        </w:rPr>
        <w:t xml:space="preserve">月 </w:t>
      </w:r>
      <w:r>
        <w:rPr>
          <w:color w:val="000000"/>
          <w:szCs w:val="21"/>
          <w:u w:val="single"/>
        </w:rPr>
        <w:t xml:space="preserve">      </w:t>
      </w:r>
      <w:r>
        <w:rPr>
          <w:color w:val="000000"/>
          <w:szCs w:val="21"/>
        </w:rPr>
        <w:t xml:space="preserve"> 日</w:t>
      </w:r>
    </w:p>
    <w:p w14:paraId="0BA2D1A7">
      <w:pPr>
        <w:adjustRightInd w:val="0"/>
        <w:snapToGrid w:val="0"/>
        <w:spacing w:line="360" w:lineRule="auto"/>
        <w:jc w:val="left"/>
        <w:rPr>
          <w:rFonts w:hint="eastAsia" w:ascii="宋体" w:hAnsi="宋体" w:cs="宋体"/>
          <w:color w:val="FF0000"/>
          <w:szCs w:val="21"/>
        </w:rPr>
      </w:pPr>
    </w:p>
    <w:p w14:paraId="66D79E03">
      <w:pPr>
        <w:adjustRightInd w:val="0"/>
        <w:snapToGrid w:val="0"/>
        <w:spacing w:line="360" w:lineRule="auto"/>
        <w:ind w:firstLine="3689" w:firstLineChars="1750"/>
        <w:rPr>
          <w:b/>
          <w:bCs/>
          <w:strike/>
          <w:snapToGrid w:val="0"/>
          <w:color w:val="FF0000"/>
          <w:kern w:val="0"/>
          <w:szCs w:val="21"/>
        </w:rPr>
      </w:pPr>
    </w:p>
    <w:p w14:paraId="0B6163AC">
      <w:pPr>
        <w:widowControl/>
        <w:spacing w:line="360" w:lineRule="auto"/>
        <w:jc w:val="left"/>
        <w:rPr>
          <w:rFonts w:hint="eastAsia"/>
          <w:sz w:val="24"/>
        </w:rPr>
      </w:pPr>
    </w:p>
    <w:p w14:paraId="40CE841E">
      <w:pPr>
        <w:spacing w:line="400" w:lineRule="exact"/>
        <w:ind w:firstLine="480" w:firstLineChars="200"/>
        <w:rPr>
          <w:rFonts w:hint="eastAsia"/>
          <w:color w:val="FF0000"/>
          <w:sz w:val="24"/>
        </w:rPr>
      </w:pPr>
    </w:p>
    <w:p w14:paraId="1D1C2275">
      <w:pPr>
        <w:adjustRightInd w:val="0"/>
        <w:snapToGrid w:val="0"/>
        <w:spacing w:line="360" w:lineRule="auto"/>
        <w:ind w:right="420" w:firstLine="4515" w:firstLineChars="2150"/>
        <w:rPr>
          <w:color w:val="000000"/>
          <w:szCs w:val="21"/>
        </w:rPr>
      </w:pPr>
    </w:p>
    <w:p w14:paraId="602D7D6E">
      <w:pPr>
        <w:pStyle w:val="6"/>
        <w:ind w:left="1260"/>
        <w:rPr>
          <w:color w:val="000000"/>
          <w:szCs w:val="21"/>
        </w:rPr>
      </w:pPr>
    </w:p>
    <w:p w14:paraId="5EB9FD2F">
      <w:pPr>
        <w:rPr>
          <w:color w:val="000000"/>
        </w:rPr>
      </w:pPr>
      <w:r>
        <w:rPr>
          <w:color w:val="000000"/>
          <w:lang w:bidi="he-IL"/>
        </w:rPr>
        <w:br w:type="page"/>
      </w:r>
    </w:p>
    <w:p w14:paraId="44AB52DC">
      <w:pPr>
        <w:pStyle w:val="3"/>
        <w:adjustRightInd w:val="0"/>
        <w:snapToGrid w:val="0"/>
        <w:spacing w:before="0" w:after="0" w:line="360" w:lineRule="auto"/>
        <w:jc w:val="center"/>
        <w:rPr>
          <w:rFonts w:ascii="Times New Roman" w:hAnsi="Times New Roman" w:eastAsia="宋体"/>
          <w:color w:val="000000"/>
          <w:sz w:val="21"/>
          <w:szCs w:val="21"/>
        </w:rPr>
      </w:pPr>
      <w:bookmarkStart w:id="76" w:name="_Toc7798"/>
      <w:bookmarkStart w:id="77" w:name="_Toc24690"/>
      <w:bookmarkStart w:id="78" w:name="_Toc30396"/>
      <w:bookmarkStart w:id="79" w:name="_Toc19550"/>
      <w:bookmarkStart w:id="80" w:name="_Toc517536855"/>
      <w:r>
        <w:rPr>
          <w:rFonts w:ascii="Times New Roman" w:hAnsi="Times New Roman" w:eastAsia="宋体"/>
          <w:bCs w:val="0"/>
          <w:color w:val="000000"/>
          <w:sz w:val="21"/>
          <w:szCs w:val="21"/>
        </w:rPr>
        <w:t>二、价格部分</w:t>
      </w:r>
      <w:bookmarkEnd w:id="76"/>
      <w:bookmarkEnd w:id="77"/>
      <w:bookmarkEnd w:id="78"/>
      <w:bookmarkEnd w:id="79"/>
      <w:bookmarkEnd w:id="80"/>
    </w:p>
    <w:p w14:paraId="3835CE31">
      <w:pPr>
        <w:pStyle w:val="4"/>
        <w:adjustRightInd w:val="0"/>
        <w:snapToGrid w:val="0"/>
        <w:spacing w:before="0" w:after="0" w:line="360" w:lineRule="auto"/>
        <w:jc w:val="center"/>
        <w:rPr>
          <w:color w:val="000000"/>
          <w:szCs w:val="21"/>
        </w:rPr>
      </w:pPr>
      <w:bookmarkStart w:id="81" w:name="_Toc14617"/>
      <w:bookmarkStart w:id="82" w:name="_Toc517536856"/>
      <w:r>
        <w:rPr>
          <w:rFonts w:hint="eastAsia"/>
          <w:color w:val="000000"/>
          <w:szCs w:val="21"/>
        </w:rPr>
        <w:t>（一）</w:t>
      </w:r>
      <w:r>
        <w:rPr>
          <w:color w:val="000000"/>
          <w:szCs w:val="21"/>
        </w:rPr>
        <w:t>报价说明</w:t>
      </w:r>
      <w:bookmarkEnd w:id="81"/>
      <w:bookmarkEnd w:id="82"/>
    </w:p>
    <w:p w14:paraId="25175DBC">
      <w:pPr>
        <w:widowControl/>
        <w:adjustRightInd w:val="0"/>
        <w:snapToGrid w:val="0"/>
        <w:spacing w:line="360" w:lineRule="auto"/>
        <w:jc w:val="left"/>
        <w:rPr>
          <w:b/>
          <w:bCs/>
          <w:color w:val="000000"/>
          <w:szCs w:val="21"/>
        </w:rPr>
      </w:pPr>
      <w:r>
        <w:rPr>
          <w:b/>
          <w:bCs/>
          <w:color w:val="000000"/>
          <w:szCs w:val="21"/>
        </w:rPr>
        <w:t>　　</w:t>
      </w:r>
    </w:p>
    <w:p w14:paraId="7DC1F811">
      <w:pPr>
        <w:widowControl/>
        <w:adjustRightInd w:val="0"/>
        <w:snapToGrid w:val="0"/>
        <w:spacing w:line="360" w:lineRule="auto"/>
        <w:jc w:val="left"/>
        <w:rPr>
          <w:color w:val="000000"/>
          <w:szCs w:val="21"/>
        </w:rPr>
      </w:pPr>
      <w:bookmarkStart w:id="83" w:name="_Toc517536857"/>
      <w:r>
        <w:rPr>
          <w:rFonts w:hint="eastAsia"/>
          <w:b/>
          <w:bCs/>
          <w:color w:val="000000"/>
          <w:szCs w:val="21"/>
        </w:rPr>
        <w:t>1.</w:t>
      </w:r>
      <w:r>
        <w:rPr>
          <w:color w:val="000000"/>
          <w:szCs w:val="21"/>
        </w:rPr>
        <w:t>本说明应与响应人须知、合同条款等文件一起参照阅读。</w:t>
      </w:r>
    </w:p>
    <w:p w14:paraId="5BB70318">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bookmarkEnd w:id="83"/>
    <w:p w14:paraId="698A493E">
      <w:pPr>
        <w:pStyle w:val="4"/>
        <w:adjustRightInd w:val="0"/>
        <w:snapToGrid w:val="0"/>
        <w:spacing w:before="0" w:after="0" w:line="360" w:lineRule="auto"/>
        <w:jc w:val="center"/>
        <w:rPr>
          <w:color w:val="000000"/>
          <w:szCs w:val="21"/>
        </w:rPr>
      </w:pPr>
      <w:bookmarkStart w:id="84" w:name="_Toc32233"/>
      <w:r>
        <w:rPr>
          <w:rFonts w:hint="eastAsia"/>
          <w:color w:val="000000"/>
          <w:szCs w:val="21"/>
        </w:rPr>
        <w:br w:type="page"/>
      </w:r>
      <w:bookmarkEnd w:id="84"/>
      <w:bookmarkStart w:id="85" w:name="_Toc10362"/>
      <w:bookmarkStart w:id="86" w:name="_Toc453162724"/>
      <w:bookmarkStart w:id="87" w:name="_Toc453162637"/>
      <w:bookmarkStart w:id="88" w:name="_Toc4371"/>
      <w:bookmarkStart w:id="89" w:name="_Toc453079664"/>
      <w:bookmarkStart w:id="90" w:name="_Toc517536858"/>
      <w:bookmarkStart w:id="91" w:name="_Toc11924"/>
      <w:bookmarkStart w:id="92" w:name="_Toc347694230"/>
      <w:r>
        <w:rPr>
          <w:rFonts w:hint="eastAsia"/>
          <w:color w:val="000000"/>
          <w:szCs w:val="21"/>
        </w:rPr>
        <w:t>（二）</w:t>
      </w:r>
      <w:r>
        <w:rPr>
          <w:color w:val="000000"/>
          <w:szCs w:val="21"/>
        </w:rPr>
        <w:t>报价表</w:t>
      </w:r>
      <w:bookmarkEnd w:id="85"/>
    </w:p>
    <w:tbl>
      <w:tblPr>
        <w:tblStyle w:val="11"/>
        <w:tblW w:w="5000" w:type="pct"/>
        <w:tblInd w:w="0" w:type="dxa"/>
        <w:tblLayout w:type="autofit"/>
        <w:tblCellMar>
          <w:top w:w="0" w:type="dxa"/>
          <w:left w:w="108" w:type="dxa"/>
          <w:bottom w:w="0" w:type="dxa"/>
          <w:right w:w="108" w:type="dxa"/>
        </w:tblCellMar>
      </w:tblPr>
      <w:tblGrid>
        <w:gridCol w:w="2517"/>
        <w:gridCol w:w="4809"/>
        <w:gridCol w:w="1960"/>
      </w:tblGrid>
      <w:tr w14:paraId="4E499E6E">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763BF04A">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20E1871D">
            <w:pPr>
              <w:adjustRightInd w:val="0"/>
              <w:snapToGrid w:val="0"/>
              <w:spacing w:line="360" w:lineRule="auto"/>
              <w:ind w:left="240" w:hanging="240"/>
              <w:jc w:val="center"/>
              <w:rPr>
                <w:rFonts w:hint="default" w:eastAsia="宋体"/>
                <w:color w:val="000000"/>
                <w:szCs w:val="21"/>
                <w:lang w:val="en-US" w:eastAsia="zh-CN"/>
              </w:rPr>
            </w:pPr>
            <w:r>
              <w:rPr>
                <w:rFonts w:hint="eastAsia"/>
                <w:color w:val="000000"/>
                <w:szCs w:val="21"/>
                <w:lang w:val="en-US" w:eastAsia="zh-CN"/>
              </w:rPr>
              <w:t>跨市监控数据传输项目</w:t>
            </w:r>
          </w:p>
        </w:tc>
        <w:tc>
          <w:tcPr>
            <w:tcW w:w="1055" w:type="pct"/>
            <w:tcBorders>
              <w:top w:val="single" w:color="auto" w:sz="4" w:space="0"/>
              <w:left w:val="nil"/>
              <w:bottom w:val="single" w:color="auto" w:sz="4" w:space="0"/>
              <w:right w:val="single" w:color="auto" w:sz="4" w:space="0"/>
            </w:tcBorders>
            <w:noWrap w:val="0"/>
            <w:vAlign w:val="center"/>
          </w:tcPr>
          <w:p w14:paraId="3F2592C9">
            <w:pPr>
              <w:adjustRightInd w:val="0"/>
              <w:snapToGrid w:val="0"/>
              <w:spacing w:line="360" w:lineRule="auto"/>
              <w:ind w:left="240" w:hanging="240"/>
              <w:jc w:val="center"/>
              <w:rPr>
                <w:color w:val="000000"/>
                <w:szCs w:val="21"/>
              </w:rPr>
            </w:pPr>
            <w:r>
              <w:rPr>
                <w:color w:val="000000"/>
                <w:szCs w:val="21"/>
              </w:rPr>
              <w:t>备注</w:t>
            </w:r>
          </w:p>
        </w:tc>
      </w:tr>
      <w:tr w14:paraId="0AEFFEB9">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4663E853">
            <w:pPr>
              <w:adjustRightInd w:val="0"/>
              <w:snapToGrid w:val="0"/>
              <w:spacing w:line="360" w:lineRule="auto"/>
              <w:ind w:left="240" w:hanging="24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217E5D8B">
            <w:pPr>
              <w:adjustRightInd w:val="0"/>
              <w:snapToGrid w:val="0"/>
              <w:spacing w:line="360" w:lineRule="auto"/>
              <w:rPr>
                <w:color w:val="000000"/>
                <w:szCs w:val="21"/>
              </w:rPr>
            </w:pPr>
            <w:r>
              <w:rPr>
                <w:color w:val="000000"/>
                <w:szCs w:val="21"/>
                <w:u w:val="single"/>
              </w:rPr>
              <w:t xml:space="preserve">           </w:t>
            </w:r>
            <w:r>
              <w:rPr>
                <w:color w:val="000000"/>
                <w:szCs w:val="21"/>
              </w:rPr>
              <w:t>元（大写：</w:t>
            </w:r>
            <w:r>
              <w:rPr>
                <w:color w:val="000000"/>
                <w:szCs w:val="21"/>
                <w:u w:val="single"/>
              </w:rPr>
              <w:t xml:space="preserve">      </w:t>
            </w:r>
            <w:r>
              <w:rPr>
                <w:color w:val="000000"/>
                <w:szCs w:val="21"/>
              </w:rPr>
              <w:t>元）</w:t>
            </w:r>
          </w:p>
        </w:tc>
        <w:tc>
          <w:tcPr>
            <w:tcW w:w="1055" w:type="pct"/>
            <w:tcBorders>
              <w:top w:val="nil"/>
              <w:left w:val="nil"/>
              <w:bottom w:val="single" w:color="auto" w:sz="4" w:space="0"/>
              <w:right w:val="single" w:color="auto" w:sz="4" w:space="0"/>
            </w:tcBorders>
            <w:noWrap w:val="0"/>
            <w:vAlign w:val="center"/>
          </w:tcPr>
          <w:p w14:paraId="095752F6">
            <w:pPr>
              <w:adjustRightInd w:val="0"/>
              <w:snapToGrid w:val="0"/>
              <w:spacing w:line="360" w:lineRule="auto"/>
              <w:rPr>
                <w:rFonts w:hint="default" w:eastAsia="宋体"/>
                <w:color w:val="000000"/>
                <w:szCs w:val="21"/>
                <w:u w:val="single"/>
                <w:lang w:val="en-US" w:eastAsia="zh-CN"/>
              </w:rPr>
            </w:pPr>
            <w:r>
              <w:rPr>
                <w:rFonts w:hint="eastAsia"/>
                <w:color w:val="000000"/>
                <w:szCs w:val="21"/>
                <w:u w:val="none"/>
                <w:lang w:val="en-US" w:eastAsia="zh-CN"/>
              </w:rPr>
              <w:t>报价含  %增值税</w:t>
            </w:r>
          </w:p>
        </w:tc>
      </w:tr>
      <w:tr w14:paraId="4700DB85">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noWrap w:val="0"/>
            <w:vAlign w:val="center"/>
          </w:tcPr>
          <w:p w14:paraId="39D5E8F6">
            <w:pPr>
              <w:adjustRightInd w:val="0"/>
              <w:snapToGrid w:val="0"/>
              <w:spacing w:line="360" w:lineRule="auto"/>
              <w:ind w:left="240" w:hanging="240"/>
              <w:jc w:val="center"/>
              <w:rPr>
                <w:color w:val="000000"/>
                <w:szCs w:val="21"/>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noWrap w:val="0"/>
            <w:vAlign w:val="center"/>
          </w:tcPr>
          <w:p w14:paraId="6C6C6092">
            <w:pPr>
              <w:adjustRightInd w:val="0"/>
              <w:snapToGrid w:val="0"/>
              <w:spacing w:line="360" w:lineRule="auto"/>
              <w:rPr>
                <w:rFonts w:hint="eastAsia"/>
                <w:color w:val="000000"/>
                <w:szCs w:val="21"/>
                <w:u w:val="single"/>
              </w:rPr>
            </w:pP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127E2F23">
            <w:pPr>
              <w:adjustRightInd w:val="0"/>
              <w:snapToGrid w:val="0"/>
              <w:spacing w:line="360" w:lineRule="auto"/>
              <w:rPr>
                <w:color w:val="000000"/>
                <w:szCs w:val="21"/>
                <w:u w:val="single"/>
              </w:rPr>
            </w:pPr>
          </w:p>
        </w:tc>
      </w:tr>
    </w:tbl>
    <w:p w14:paraId="5BAD18C0">
      <w:pPr>
        <w:adjustRightInd w:val="0"/>
        <w:snapToGrid w:val="0"/>
        <w:spacing w:line="360" w:lineRule="auto"/>
        <w:rPr>
          <w:color w:val="000000"/>
          <w:szCs w:val="21"/>
        </w:rPr>
      </w:pPr>
    </w:p>
    <w:p w14:paraId="3C785C0B">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0D9CAF97">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33F8BD3F">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5AF15065">
      <w:pPr>
        <w:adjustRightInd w:val="0"/>
        <w:snapToGrid w:val="0"/>
        <w:spacing w:line="360" w:lineRule="auto"/>
        <w:rPr>
          <w:color w:val="000000"/>
          <w:szCs w:val="21"/>
        </w:rPr>
      </w:pPr>
    </w:p>
    <w:p w14:paraId="49F5C527">
      <w:pPr>
        <w:adjustRightInd w:val="0"/>
        <w:snapToGrid w:val="0"/>
        <w:spacing w:line="360" w:lineRule="auto"/>
        <w:rPr>
          <w:color w:val="000000"/>
          <w:szCs w:val="21"/>
        </w:rPr>
      </w:pPr>
    </w:p>
    <w:p w14:paraId="5AF3EF04">
      <w:pPr>
        <w:pStyle w:val="3"/>
        <w:rPr>
          <w:color w:val="000000"/>
          <w:szCs w:val="21"/>
        </w:rPr>
      </w:pPr>
    </w:p>
    <w:p w14:paraId="2D7CC933">
      <w:pPr>
        <w:rPr>
          <w:color w:val="000000"/>
          <w:szCs w:val="21"/>
        </w:rPr>
      </w:pPr>
    </w:p>
    <w:p w14:paraId="41B57FA6">
      <w:pPr>
        <w:pStyle w:val="3"/>
        <w:rPr>
          <w:color w:val="000000"/>
          <w:szCs w:val="21"/>
        </w:rPr>
      </w:pPr>
    </w:p>
    <w:p w14:paraId="64C73129">
      <w:pPr>
        <w:rPr>
          <w:color w:val="000000"/>
          <w:szCs w:val="21"/>
        </w:rPr>
      </w:pPr>
    </w:p>
    <w:p w14:paraId="7B88EA1C">
      <w:pPr>
        <w:pStyle w:val="3"/>
        <w:rPr>
          <w:color w:val="000000"/>
          <w:szCs w:val="21"/>
        </w:rPr>
      </w:pPr>
    </w:p>
    <w:p w14:paraId="5CD38B2C">
      <w:pPr>
        <w:rPr>
          <w:color w:val="000000"/>
          <w:szCs w:val="21"/>
        </w:rPr>
      </w:pPr>
    </w:p>
    <w:p w14:paraId="2E650B2B">
      <w:pPr>
        <w:pStyle w:val="3"/>
        <w:rPr>
          <w:color w:val="000000"/>
          <w:szCs w:val="21"/>
        </w:rPr>
      </w:pPr>
    </w:p>
    <w:p w14:paraId="7E2B060A">
      <w:pPr>
        <w:rPr>
          <w:color w:val="000000"/>
          <w:szCs w:val="21"/>
        </w:rPr>
      </w:pPr>
    </w:p>
    <w:p w14:paraId="1800482B">
      <w:pPr>
        <w:pStyle w:val="3"/>
        <w:rPr>
          <w:color w:val="000000"/>
          <w:szCs w:val="21"/>
        </w:rPr>
      </w:pPr>
    </w:p>
    <w:p w14:paraId="0FBF279F">
      <w:pPr>
        <w:rPr>
          <w:color w:val="000000"/>
          <w:szCs w:val="21"/>
        </w:rPr>
      </w:pPr>
    </w:p>
    <w:p w14:paraId="6C16F4F6">
      <w:pPr>
        <w:pStyle w:val="3"/>
      </w:pPr>
    </w:p>
    <w:p w14:paraId="51BFF5BE">
      <w:pPr>
        <w:adjustRightInd w:val="0"/>
        <w:snapToGrid w:val="0"/>
        <w:spacing w:line="360" w:lineRule="auto"/>
        <w:rPr>
          <w:color w:val="000000"/>
          <w:szCs w:val="21"/>
        </w:rPr>
      </w:pPr>
    </w:p>
    <w:bookmarkEnd w:id="86"/>
    <w:bookmarkEnd w:id="87"/>
    <w:bookmarkEnd w:id="88"/>
    <w:bookmarkEnd w:id="89"/>
    <w:bookmarkEnd w:id="90"/>
    <w:bookmarkEnd w:id="91"/>
    <w:bookmarkEnd w:id="92"/>
    <w:p w14:paraId="201812E6">
      <w:pPr>
        <w:pStyle w:val="4"/>
        <w:adjustRightInd w:val="0"/>
        <w:snapToGrid w:val="0"/>
        <w:spacing w:before="0" w:after="0" w:line="360" w:lineRule="auto"/>
        <w:jc w:val="center"/>
        <w:rPr>
          <w:szCs w:val="21"/>
        </w:rPr>
      </w:pPr>
      <w:bookmarkStart w:id="93" w:name="_Toc26968"/>
      <w:bookmarkStart w:id="94" w:name="_Toc517789251"/>
      <w:bookmarkStart w:id="95" w:name="_Toc51172618"/>
      <w:bookmarkStart w:id="96" w:name="_Toc45201119"/>
      <w:bookmarkStart w:id="97" w:name="_Toc501257140"/>
      <w:bookmarkStart w:id="98" w:name="_Toc35864548"/>
      <w:r>
        <w:rPr>
          <w:rFonts w:hint="eastAsia"/>
          <w:szCs w:val="21"/>
        </w:rPr>
        <w:t>（三）</w:t>
      </w:r>
      <w:r>
        <w:rPr>
          <w:szCs w:val="21"/>
        </w:rPr>
        <w:t>分项报价表</w:t>
      </w:r>
      <w:bookmarkEnd w:id="93"/>
    </w:p>
    <w:p w14:paraId="51C7662C">
      <w:pPr>
        <w:adjustRightInd w:val="0"/>
        <w:snapToGrid w:val="0"/>
        <w:spacing w:line="360" w:lineRule="auto"/>
        <w:rPr>
          <w:szCs w:val="21"/>
        </w:rPr>
      </w:pPr>
      <w:r>
        <w:rPr>
          <w:szCs w:val="21"/>
        </w:rPr>
        <w:t xml:space="preserve"> </w:t>
      </w:r>
    </w:p>
    <w:p w14:paraId="59B32836">
      <w:pPr>
        <w:adjustRightInd w:val="0"/>
        <w:snapToGrid w:val="0"/>
        <w:spacing w:line="360" w:lineRule="auto"/>
        <w:rPr>
          <w:rFonts w:hint="eastAsia"/>
          <w:szCs w:val="21"/>
        </w:rPr>
      </w:pPr>
      <w:r>
        <w:rPr>
          <w:rFonts w:hint="eastAsia"/>
          <w:szCs w:val="21"/>
        </w:rPr>
        <w:t>根据响应文件清单内容进行填报。</w:t>
      </w:r>
    </w:p>
    <w:tbl>
      <w:tblPr>
        <w:tblStyle w:val="11"/>
        <w:tblW w:w="9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8"/>
        <w:gridCol w:w="2070"/>
        <w:gridCol w:w="1245"/>
        <w:gridCol w:w="780"/>
        <w:gridCol w:w="1215"/>
        <w:gridCol w:w="1515"/>
      </w:tblGrid>
      <w:tr w14:paraId="1450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7B140FC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品名</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DD1A85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型号参数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DB1BB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642FF0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数量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BD5ADF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单价（元）</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62FA30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金额（元）</w:t>
            </w:r>
          </w:p>
        </w:tc>
      </w:tr>
      <w:tr w14:paraId="73DD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2A8DEAA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098271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EDE3C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3650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0FAFD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A015B5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12FA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4B50FFD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68BFF6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856C0E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6E2A34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8E976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8E2BF5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066D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47B5ED5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合计</w:t>
            </w:r>
          </w:p>
        </w:tc>
        <w:tc>
          <w:tcPr>
            <w:tcW w:w="6825" w:type="dxa"/>
            <w:gridSpan w:val="5"/>
            <w:tcBorders>
              <w:top w:val="single" w:color="000000" w:sz="4" w:space="0"/>
              <w:left w:val="single" w:color="000000" w:sz="4" w:space="0"/>
              <w:bottom w:val="single" w:color="000000" w:sz="4" w:space="0"/>
              <w:right w:val="single" w:color="000000" w:sz="4" w:space="0"/>
            </w:tcBorders>
            <w:noWrap w:val="0"/>
            <w:vAlign w:val="center"/>
          </w:tcPr>
          <w:p w14:paraId="468F810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bl>
    <w:p w14:paraId="657A59EB">
      <w:pPr>
        <w:spacing w:line="600" w:lineRule="atLeast"/>
        <w:rPr>
          <w:b/>
          <w:bCs/>
          <w:color w:val="000000"/>
          <w:kern w:val="0"/>
          <w:sz w:val="28"/>
          <w:szCs w:val="52"/>
          <w:lang w:bidi="ar"/>
        </w:rPr>
      </w:pPr>
      <w:r>
        <w:rPr>
          <w:b/>
          <w:color w:val="000000"/>
          <w:sz w:val="28"/>
          <w:szCs w:val="21"/>
        </w:rPr>
        <w:br w:type="page"/>
      </w:r>
      <w:bookmarkEnd w:id="94"/>
      <w:bookmarkEnd w:id="95"/>
      <w:bookmarkEnd w:id="96"/>
      <w:bookmarkEnd w:id="97"/>
      <w:bookmarkEnd w:id="98"/>
      <w:r>
        <w:rPr>
          <w:b/>
          <w:bCs/>
          <w:color w:val="000000"/>
          <w:kern w:val="0"/>
          <w:sz w:val="28"/>
          <w:szCs w:val="52"/>
          <w:lang w:bidi="ar"/>
        </w:rPr>
        <w:t>附录1</w:t>
      </w:r>
    </w:p>
    <w:p w14:paraId="24094436">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6ACC847F">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20E97217">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rPr>
        <w:t>采购文件</w:t>
      </w:r>
      <w:r>
        <w:rPr>
          <w:color w:val="000000"/>
          <w:sz w:val="24"/>
        </w:rPr>
        <w:t>的、按照相互约定制定</w:t>
      </w:r>
      <w:r>
        <w:rPr>
          <w:rFonts w:hint="eastAsia"/>
          <w:color w:val="000000"/>
          <w:sz w:val="24"/>
        </w:rPr>
        <w:t>响应</w:t>
      </w:r>
      <w:r>
        <w:rPr>
          <w:color w:val="000000"/>
          <w:sz w:val="24"/>
        </w:rPr>
        <w:t>方案的；</w:t>
      </w:r>
    </w:p>
    <w:p w14:paraId="77BAB5E4">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114F5128">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3BCD2DF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116B2208">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53617804">
      <w:pPr>
        <w:spacing w:line="500" w:lineRule="exact"/>
        <w:ind w:firstLine="480" w:firstLineChars="200"/>
        <w:jc w:val="left"/>
        <w:rPr>
          <w:color w:val="000000"/>
          <w:sz w:val="24"/>
        </w:rPr>
      </w:pPr>
      <w:r>
        <w:rPr>
          <w:color w:val="000000"/>
          <w:sz w:val="24"/>
        </w:rPr>
        <w:t>6.法律、法规、规章规定的其他相互串通投标行为。</w:t>
      </w:r>
    </w:p>
    <w:p w14:paraId="75EF3DD5">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65B26785">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1235A028">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01578F96">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5F1C1082">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22CE3FC9">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6B26AE86">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2D4A03C">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54E1E5A9">
      <w:pPr>
        <w:spacing w:line="500" w:lineRule="exact"/>
        <w:ind w:firstLine="480" w:firstLineChars="200"/>
        <w:jc w:val="left"/>
        <w:rPr>
          <w:color w:val="000000"/>
          <w:sz w:val="24"/>
        </w:rPr>
      </w:pPr>
      <w:r>
        <w:rPr>
          <w:color w:val="000000"/>
          <w:sz w:val="24"/>
        </w:rPr>
        <w:t>8.法律、法规、规章规定的其他视为相互串通投标的行为。</w:t>
      </w:r>
    </w:p>
    <w:p w14:paraId="1E941DD7">
      <w:pPr>
        <w:spacing w:line="500" w:lineRule="exact"/>
        <w:ind w:firstLine="480" w:firstLineChars="200"/>
        <w:jc w:val="left"/>
        <w:rPr>
          <w:color w:val="000000"/>
          <w:sz w:val="24"/>
        </w:rPr>
      </w:pPr>
    </w:p>
    <w:p w14:paraId="1F0A97B3">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562011E1">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rPr>
        <w:t>采购文件</w:t>
      </w:r>
      <w:r>
        <w:rPr>
          <w:color w:val="000000"/>
          <w:sz w:val="24"/>
        </w:rPr>
        <w:t>的潜在</w:t>
      </w:r>
      <w:r>
        <w:rPr>
          <w:rFonts w:hint="eastAsia"/>
          <w:color w:val="000000"/>
          <w:sz w:val="24"/>
        </w:rPr>
        <w:t>响应人</w:t>
      </w:r>
      <w:r>
        <w:rPr>
          <w:color w:val="000000"/>
          <w:sz w:val="24"/>
        </w:rPr>
        <w:t>的名称、数量的;</w:t>
      </w:r>
    </w:p>
    <w:p w14:paraId="11888023">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4364B6E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368B6AD9">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4C3D6AA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1D7A20E">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67F6F768">
      <w:pPr>
        <w:spacing w:line="500" w:lineRule="exact"/>
        <w:ind w:firstLine="480" w:firstLineChars="200"/>
        <w:jc w:val="left"/>
        <w:rPr>
          <w:color w:val="000000"/>
          <w:sz w:val="24"/>
        </w:rPr>
      </w:pPr>
      <w:r>
        <w:rPr>
          <w:color w:val="000000"/>
          <w:sz w:val="24"/>
        </w:rPr>
        <w:t>7.法律、法规、规章规定的其他串通投标行为。</w:t>
      </w:r>
    </w:p>
    <w:p w14:paraId="4CB5F0E7">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76AD787D">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67C214AD">
      <w:pPr>
        <w:spacing w:line="500" w:lineRule="exact"/>
        <w:ind w:firstLine="480" w:firstLineChars="200"/>
        <w:jc w:val="left"/>
        <w:rPr>
          <w:color w:val="000000"/>
          <w:sz w:val="24"/>
        </w:rPr>
      </w:pPr>
      <w:r>
        <w:rPr>
          <w:color w:val="000000"/>
          <w:sz w:val="24"/>
        </w:rPr>
        <w:t>2.使用伪造、变造的许可证件；</w:t>
      </w:r>
    </w:p>
    <w:p w14:paraId="75F9FD48">
      <w:pPr>
        <w:spacing w:line="500" w:lineRule="exact"/>
        <w:ind w:firstLine="480" w:firstLineChars="200"/>
        <w:jc w:val="left"/>
        <w:rPr>
          <w:color w:val="000000"/>
          <w:sz w:val="24"/>
        </w:rPr>
      </w:pPr>
      <w:r>
        <w:rPr>
          <w:color w:val="000000"/>
          <w:sz w:val="24"/>
        </w:rPr>
        <w:t>3.提供虚假的财务状况或业绩；</w:t>
      </w:r>
    </w:p>
    <w:p w14:paraId="5C2F1ABE">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569627C4">
      <w:pPr>
        <w:spacing w:line="500" w:lineRule="exact"/>
        <w:ind w:firstLine="480" w:firstLineChars="200"/>
        <w:jc w:val="left"/>
        <w:rPr>
          <w:color w:val="000000"/>
          <w:sz w:val="24"/>
        </w:rPr>
      </w:pPr>
      <w:r>
        <w:rPr>
          <w:color w:val="000000"/>
          <w:sz w:val="24"/>
        </w:rPr>
        <w:t>5.提供虚假的信用状况；</w:t>
      </w:r>
    </w:p>
    <w:p w14:paraId="6545EE46">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EA75193">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FF653D5">
      <w:pPr>
        <w:spacing w:line="500" w:lineRule="exact"/>
        <w:ind w:firstLine="480" w:firstLineChars="200"/>
        <w:jc w:val="left"/>
        <w:rPr>
          <w:color w:val="000000"/>
          <w:sz w:val="24"/>
        </w:rPr>
      </w:pPr>
      <w:r>
        <w:rPr>
          <w:color w:val="000000"/>
          <w:sz w:val="24"/>
        </w:rPr>
        <w:t>8.隐瞒</w:t>
      </w:r>
      <w:r>
        <w:rPr>
          <w:rFonts w:hint="eastAsia"/>
          <w:color w:val="000000"/>
          <w:sz w:val="24"/>
        </w:rPr>
        <w:t>采购文件</w:t>
      </w:r>
      <w:r>
        <w:rPr>
          <w:color w:val="000000"/>
          <w:sz w:val="24"/>
        </w:rPr>
        <w:t>要求提供的信息，或者提供虚假、引人误解的其他信息的；</w:t>
      </w:r>
    </w:p>
    <w:p w14:paraId="0C17A5D1">
      <w:pPr>
        <w:spacing w:line="500" w:lineRule="exact"/>
        <w:ind w:firstLine="480" w:firstLineChars="200"/>
        <w:jc w:val="left"/>
        <w:rPr>
          <w:color w:val="000000"/>
          <w:sz w:val="24"/>
        </w:rPr>
      </w:pPr>
      <w:r>
        <w:rPr>
          <w:color w:val="000000"/>
          <w:sz w:val="24"/>
        </w:rPr>
        <w:t>9.法律、法规、规章规定的其他串通投标行为。</w:t>
      </w:r>
    </w:p>
    <w:p w14:paraId="158F04EC">
      <w:pPr>
        <w:rPr>
          <w:highlight w:val="yellow"/>
        </w:rPr>
      </w:pPr>
    </w:p>
    <w:p w14:paraId="7FBBC8B6"/>
    <w:p w14:paraId="74FFDB5C"/>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B4456"/>
    <w:multiLevelType w:val="singleLevel"/>
    <w:tmpl w:val="DBAB4456"/>
    <w:lvl w:ilvl="0" w:tentative="0">
      <w:start w:val="4"/>
      <w:numFmt w:val="chineseCounting"/>
      <w:suff w:val="space"/>
      <w:lvlText w:val="第%1章"/>
      <w:lvlJc w:val="left"/>
      <w:rPr>
        <w:rFonts w:hint="eastAsia"/>
      </w:rPr>
    </w:lvl>
  </w:abstractNum>
  <w:abstractNum w:abstractNumId="1">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277D"/>
    <w:rsid w:val="04A2299C"/>
    <w:rsid w:val="056F4D98"/>
    <w:rsid w:val="05C13A44"/>
    <w:rsid w:val="082639AE"/>
    <w:rsid w:val="16A5765A"/>
    <w:rsid w:val="218F29A4"/>
    <w:rsid w:val="24F01410"/>
    <w:rsid w:val="2F9C0CEB"/>
    <w:rsid w:val="3F15359E"/>
    <w:rsid w:val="41D03753"/>
    <w:rsid w:val="44B82B0C"/>
    <w:rsid w:val="460203EC"/>
    <w:rsid w:val="52B8099B"/>
    <w:rsid w:val="57400C46"/>
    <w:rsid w:val="6B4725E3"/>
    <w:rsid w:val="74FC071F"/>
    <w:rsid w:val="7691545E"/>
    <w:rsid w:val="77437EBE"/>
    <w:rsid w:val="79866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14">
    <w:name w:val="样式 55 + (西文) Times New Roman (中文) 宋体 五号 加粗 行距: 1.5 倍行距"/>
    <w:basedOn w:val="15"/>
    <w:qFormat/>
    <w:uiPriority w:val="0"/>
    <w:pPr>
      <w:snapToGrid w:val="0"/>
      <w:spacing w:line="360" w:lineRule="auto"/>
      <w:ind w:firstLine="0"/>
    </w:pPr>
    <w:rPr>
      <w:rFonts w:ascii="Times New Roman" w:eastAsia="黑体" w:cs="宋体"/>
      <w:bCs/>
      <w:szCs w:val="20"/>
    </w:rPr>
  </w:style>
  <w:style w:type="paragraph" w:customStyle="1" w:styleId="15">
    <w:name w:val="55"/>
    <w:basedOn w:val="1"/>
    <w:qFormat/>
    <w:uiPriority w:val="0"/>
    <w:pPr>
      <w:adjustRightInd w:val="0"/>
      <w:spacing w:line="500" w:lineRule="exact"/>
      <w:ind w:firstLine="629"/>
    </w:pPr>
    <w:rPr>
      <w:rFonts w:ascii="仿宋_GB2312" w:eastAsia="仿宋_GB2312"/>
      <w:sz w:val="28"/>
      <w:szCs w:val="28"/>
    </w:rPr>
  </w:style>
  <w:style w:type="paragraph" w:customStyle="1" w:styleId="16">
    <w:name w:val="普通(网站) Char"/>
    <w:basedOn w:val="1"/>
    <w:qFormat/>
    <w:uiPriority w:val="0"/>
    <w:pPr>
      <w:spacing w:beforeAutospacing="1" w:afterAutospacing="1"/>
    </w:pPr>
    <w:rPr>
      <w:rFonts w:hint="eastAsia" w:cs="Times New Roman"/>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13995</Words>
  <Characters>14768</Characters>
  <Lines>0</Lines>
  <Paragraphs>0</Paragraphs>
  <TotalTime>64</TotalTime>
  <ScaleCrop>false</ScaleCrop>
  <LinksUpToDate>false</LinksUpToDate>
  <CharactersWithSpaces>16257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2025-07-01T02:57:00Z</dcterms:created>
  <dc:creator>Lenovo</dc:creator>
  <cp:lastModifiedBy>haha哥</cp:lastModifiedBy>
  <dcterms:modified xsi:type="dcterms:W3CDTF">2025-11-07T09:01:55Z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eyJoZGlkIjoiYmZiMGMxZTNkNTQxZmFjYzk2YWUzMDNmMjA0NGQ3MGQiLCJ1c2VySWQiOiI1NzA0MDg3NjgifQ==</vt:lpwstr>
  </property>
  <property fmtid="{D5CDD505-2E9C-101B-9397-08002B2CF9AE}" pid="4" name="ICV">
    <vt:lpwstr>0A6EE8F339A744D18A621C238ACC9BE3_12</vt:lpwstr>
  </property>
</Properties>
</file>